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5CEFC40">
      <w:pPr>
        <w:tabs>
          <w:tab w:val="center" w:pos="4212"/>
          <w:tab w:val="right" w:pos="8306"/>
        </w:tabs>
        <w:jc w:val="center"/>
        <w:rPr>
          <w:rFonts w:hint="eastAsia" w:eastAsia="宋体"/>
          <w:b/>
          <w:bCs/>
          <w:color w:val="auto"/>
          <w:sz w:val="44"/>
          <w:lang w:eastAsia="zh-CN"/>
        </w:rPr>
      </w:pPr>
      <w:r>
        <w:rPr>
          <w:rFonts w:hint="eastAsia" w:eastAsia="宋体"/>
          <w:b/>
          <w:bCs/>
          <w:color w:val="auto"/>
          <w:sz w:val="44"/>
          <w:lang w:eastAsia="zh-CN"/>
        </w:rPr>
        <w:drawing>
          <wp:inline distT="0" distB="0" distL="114300" distR="114300">
            <wp:extent cx="3599815" cy="3599815"/>
            <wp:effectExtent l="0" t="0" r="635" b="635"/>
            <wp:docPr id="1" name="图片 1" descr="微信图片_2020031808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00318084027"/>
                    <pic:cNvPicPr>
                      <a:picLocks noChangeAspect="1"/>
                    </pic:cNvPicPr>
                  </pic:nvPicPr>
                  <pic:blipFill>
                    <a:blip r:embed="rId9"/>
                    <a:stretch>
                      <a:fillRect/>
                    </a:stretch>
                  </pic:blipFill>
                  <pic:spPr>
                    <a:xfrm>
                      <a:off x="0" y="0"/>
                      <a:ext cx="3599815" cy="3599815"/>
                    </a:xfrm>
                    <a:prstGeom prst="rect">
                      <a:avLst/>
                    </a:prstGeom>
                    <a:noFill/>
                    <a:ln>
                      <a:noFill/>
                    </a:ln>
                  </pic:spPr>
                </pic:pic>
              </a:graphicData>
            </a:graphic>
          </wp:inline>
        </w:drawing>
      </w:r>
    </w:p>
    <w:p w14:paraId="3464BDE8">
      <w:pPr>
        <w:jc w:val="both"/>
        <w:rPr>
          <w:rFonts w:hint="eastAsia"/>
          <w:b/>
          <w:bCs/>
          <w:color w:val="auto"/>
          <w:sz w:val="44"/>
        </w:rPr>
      </w:pPr>
    </w:p>
    <w:p w14:paraId="70FE15F6">
      <w:pPr>
        <w:jc w:val="both"/>
        <w:rPr>
          <w:rFonts w:hint="eastAsia" w:ascii="宋体" w:hAnsi="宋体"/>
          <w:b/>
          <w:bCs/>
          <w:color w:val="auto"/>
          <w:sz w:val="44"/>
          <w:lang w:eastAsia="zh-CN"/>
        </w:rPr>
      </w:pPr>
    </w:p>
    <w:p w14:paraId="0F247A2A">
      <w:pPr>
        <w:jc w:val="center"/>
        <w:rPr>
          <w:rFonts w:hint="eastAsia" w:ascii="宋体" w:hAnsi="宋体" w:eastAsia="宋体"/>
          <w:color w:val="auto"/>
          <w:sz w:val="28"/>
          <w:lang w:val="en-US" w:eastAsia="zh-CN"/>
        </w:rPr>
      </w:pPr>
      <w:r>
        <w:rPr>
          <w:rFonts w:hint="eastAsia" w:ascii="宋体" w:hAnsi="宋体" w:cs="Times New Roman"/>
          <w:b/>
          <w:bCs/>
          <w:color w:val="auto"/>
          <w:sz w:val="44"/>
          <w:lang w:val="en-US" w:eastAsia="zh-CN"/>
        </w:rPr>
        <w:t>浙南鸡业公司</w:t>
      </w:r>
      <w:r>
        <w:rPr>
          <w:rFonts w:hint="eastAsia" w:ascii="宋体" w:hAnsi="宋体" w:eastAsia="宋体" w:cs="Times New Roman"/>
          <w:b/>
          <w:bCs/>
          <w:color w:val="auto"/>
          <w:sz w:val="44"/>
          <w:lang w:val="en-US" w:eastAsia="zh-CN"/>
        </w:rPr>
        <w:t>工业丙烷采购</w:t>
      </w:r>
      <w:r>
        <w:rPr>
          <w:rFonts w:hint="eastAsia" w:ascii="宋体" w:hAnsi="宋体" w:cs="Times New Roman"/>
          <w:b/>
          <w:bCs/>
          <w:color w:val="auto"/>
          <w:sz w:val="44"/>
          <w:lang w:val="en-US" w:eastAsia="zh-CN"/>
        </w:rPr>
        <w:t>业务</w:t>
      </w:r>
      <w:r>
        <w:rPr>
          <w:rFonts w:hint="eastAsia" w:ascii="宋体" w:hAnsi="宋体" w:eastAsia="宋体" w:cs="Times New Roman"/>
          <w:b/>
          <w:bCs/>
          <w:color w:val="auto"/>
          <w:sz w:val="44"/>
          <w:lang w:val="en-US" w:eastAsia="zh-CN"/>
        </w:rPr>
        <w:t>招标文件</w:t>
      </w:r>
    </w:p>
    <w:p w14:paraId="0416EE95">
      <w:pPr>
        <w:jc w:val="both"/>
        <w:rPr>
          <w:rFonts w:hint="eastAsia" w:ascii="宋体" w:hAnsi="宋体"/>
          <w:color w:val="auto"/>
          <w:sz w:val="28"/>
        </w:rPr>
      </w:pPr>
    </w:p>
    <w:p w14:paraId="2EB9196C">
      <w:pPr>
        <w:jc w:val="both"/>
        <w:rPr>
          <w:rFonts w:hint="eastAsia" w:ascii="仿宋" w:hAnsi="仿宋" w:eastAsia="仿宋" w:cs="仿宋"/>
          <w:color w:val="auto"/>
          <w:sz w:val="32"/>
          <w:szCs w:val="32"/>
        </w:rPr>
      </w:pPr>
    </w:p>
    <w:p w14:paraId="2C81C45E">
      <w:pPr>
        <w:ind w:firstLine="964" w:firstLineChars="300"/>
        <w:jc w:val="both"/>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lang w:val="en-US" w:eastAsia="zh-CN"/>
        </w:rPr>
        <w:t>招标单位：</w:t>
      </w:r>
      <w:r>
        <w:rPr>
          <w:rFonts w:hint="eastAsia" w:ascii="仿宋" w:hAnsi="仿宋" w:eastAsia="仿宋" w:cs="仿宋"/>
          <w:b/>
          <w:bCs/>
          <w:color w:val="auto"/>
          <w:sz w:val="32"/>
          <w:szCs w:val="32"/>
          <w:highlight w:val="none"/>
          <w:lang w:val="en-US" w:eastAsia="zh-CN"/>
        </w:rPr>
        <w:t>江山温氏畜牧有限公司</w:t>
      </w:r>
    </w:p>
    <w:p w14:paraId="2417D2DE">
      <w:pPr>
        <w:ind w:firstLine="964" w:firstLineChars="300"/>
        <w:jc w:val="both"/>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 xml:space="preserve">          衢州温氏畜牧有限公司</w:t>
      </w:r>
    </w:p>
    <w:p w14:paraId="6F1E682D">
      <w:pPr>
        <w:keepNext w:val="0"/>
        <w:keepLines w:val="0"/>
        <w:pageBreakBefore w:val="0"/>
        <w:widowControl w:val="0"/>
        <w:kinsoku/>
        <w:wordWrap/>
        <w:overflowPunct/>
        <w:topLinePunct w:val="0"/>
        <w:autoSpaceDE w:val="0"/>
        <w:autoSpaceDN w:val="0"/>
        <w:bidi w:val="0"/>
        <w:adjustRightInd w:val="0"/>
        <w:snapToGrid/>
        <w:spacing w:line="700" w:lineRule="exact"/>
        <w:ind w:firstLine="964" w:firstLineChars="300"/>
        <w:jc w:val="both"/>
        <w:textAlignment w:val="auto"/>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招</w:t>
      </w:r>
      <w:r>
        <w:rPr>
          <w:rFonts w:hint="eastAsia" w:ascii="仿宋" w:hAnsi="仿宋" w:eastAsia="仿宋" w:cs="仿宋"/>
          <w:b/>
          <w:bCs/>
          <w:color w:val="auto"/>
          <w:sz w:val="32"/>
          <w:szCs w:val="32"/>
          <w:lang w:val="zh-CN"/>
        </w:rPr>
        <w:t>标地址：</w:t>
      </w:r>
      <w:r>
        <w:rPr>
          <w:rFonts w:hint="eastAsia" w:ascii="仿宋" w:hAnsi="仿宋" w:eastAsia="仿宋" w:cs="仿宋"/>
          <w:b/>
          <w:bCs/>
          <w:color w:val="auto"/>
          <w:sz w:val="32"/>
          <w:szCs w:val="32"/>
          <w:lang w:val="en-US" w:eastAsia="zh-CN"/>
        </w:rPr>
        <w:t>温氏</w:t>
      </w:r>
      <w:r>
        <w:rPr>
          <w:rFonts w:hint="eastAsia" w:ascii="仿宋" w:hAnsi="仿宋" w:eastAsia="仿宋" w:cs="仿宋"/>
          <w:b/>
          <w:bCs/>
          <w:color w:val="auto"/>
          <w:sz w:val="32"/>
          <w:szCs w:val="32"/>
          <w:u w:val="none"/>
          <w:lang w:val="en-US" w:eastAsia="zh-CN"/>
        </w:rPr>
        <w:t>线上招投标系统</w:t>
      </w:r>
    </w:p>
    <w:p w14:paraId="7EB58150">
      <w:pPr>
        <w:keepNext w:val="0"/>
        <w:keepLines w:val="0"/>
        <w:pageBreakBefore w:val="0"/>
        <w:widowControl w:val="0"/>
        <w:kinsoku/>
        <w:wordWrap/>
        <w:overflowPunct/>
        <w:topLinePunct w:val="0"/>
        <w:autoSpaceDE w:val="0"/>
        <w:autoSpaceDN w:val="0"/>
        <w:bidi w:val="0"/>
        <w:adjustRightInd w:val="0"/>
        <w:snapToGrid/>
        <w:spacing w:line="700" w:lineRule="exact"/>
        <w:ind w:firstLine="964" w:firstLineChars="3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招标项目：工业丙烷采购与配送</w:t>
      </w:r>
    </w:p>
    <w:p w14:paraId="7D96BAAB">
      <w:pPr>
        <w:keepNext w:val="0"/>
        <w:keepLines w:val="0"/>
        <w:pageBreakBefore w:val="0"/>
        <w:widowControl w:val="0"/>
        <w:kinsoku/>
        <w:wordWrap/>
        <w:overflowPunct/>
        <w:topLinePunct w:val="0"/>
        <w:autoSpaceDE w:val="0"/>
        <w:autoSpaceDN w:val="0"/>
        <w:bidi w:val="0"/>
        <w:adjustRightInd w:val="0"/>
        <w:snapToGrid/>
        <w:spacing w:after="3432" w:afterLines="1100" w:line="700" w:lineRule="exact"/>
        <w:ind w:firstLine="964" w:firstLineChars="300"/>
        <w:jc w:val="both"/>
        <w:textAlignment w:val="auto"/>
        <w:rPr>
          <w:rFonts w:hint="eastAsia" w:ascii="仿宋" w:hAnsi="仿宋" w:eastAsia="仿宋" w:cs="仿宋"/>
          <w:b/>
          <w:bCs/>
          <w:color w:val="FF0000"/>
          <w:spacing w:val="40"/>
          <w:sz w:val="32"/>
          <w:szCs w:val="32"/>
          <w:lang w:val="en-US" w:eastAsia="zh-CN"/>
        </w:rPr>
      </w:pPr>
      <w:r>
        <w:rPr>
          <w:rFonts w:hint="eastAsia" w:ascii="仿宋" w:hAnsi="仿宋" w:eastAsia="仿宋" w:cs="仿宋"/>
          <w:b/>
          <w:bCs/>
          <w:color w:val="auto"/>
          <w:sz w:val="32"/>
          <w:szCs w:val="32"/>
          <w:lang w:val="en-US" w:eastAsia="zh-CN"/>
        </w:rPr>
        <w:t>招标日期：</w:t>
      </w:r>
      <w:r>
        <w:rPr>
          <w:rFonts w:hint="eastAsia" w:ascii="仿宋" w:hAnsi="仿宋" w:eastAsia="仿宋" w:cs="仿宋"/>
          <w:b/>
          <w:bCs/>
          <w:color w:val="auto"/>
          <w:sz w:val="32"/>
          <w:szCs w:val="32"/>
          <w:highlight w:val="none"/>
          <w:lang w:val="en-US" w:eastAsia="zh-CN"/>
        </w:rPr>
        <w:t>2026年11月17日　</w:t>
      </w:r>
    </w:p>
    <w:p w14:paraId="2B56CA1A">
      <w:pPr>
        <w:pStyle w:val="2"/>
        <w:jc w:val="both"/>
        <w:rPr>
          <w:rFonts w:hint="eastAsia" w:ascii="仿宋" w:hAnsi="仿宋" w:eastAsia="仿宋" w:cs="仿宋"/>
          <w:color w:val="auto"/>
          <w:sz w:val="32"/>
          <w:szCs w:val="32"/>
          <w:lang w:val="zh-CN"/>
        </w:rPr>
      </w:pPr>
      <w:bookmarkStart w:id="0" w:name="_Toc510542515"/>
      <w:r>
        <w:rPr>
          <w:rFonts w:hint="eastAsia" w:ascii="仿宋" w:hAnsi="仿宋" w:eastAsia="仿宋" w:cs="仿宋"/>
          <w:color w:val="auto"/>
          <w:sz w:val="32"/>
          <w:szCs w:val="32"/>
          <w:lang w:val="zh-CN"/>
        </w:rPr>
        <w:t>一、</w:t>
      </w:r>
      <w:r>
        <w:rPr>
          <w:rFonts w:hint="eastAsia" w:ascii="仿宋" w:hAnsi="仿宋" w:eastAsia="仿宋" w:cs="仿宋"/>
          <w:color w:val="auto"/>
          <w:sz w:val="32"/>
          <w:szCs w:val="32"/>
          <w:lang w:val="en-US" w:eastAsia="zh-CN"/>
        </w:rPr>
        <w:t>招</w:t>
      </w:r>
      <w:r>
        <w:rPr>
          <w:rFonts w:hint="eastAsia" w:ascii="仿宋" w:hAnsi="仿宋" w:eastAsia="仿宋" w:cs="仿宋"/>
          <w:color w:val="auto"/>
          <w:sz w:val="32"/>
          <w:szCs w:val="32"/>
          <w:lang w:val="zh-CN"/>
        </w:rPr>
        <w:t>标公告</w:t>
      </w:r>
      <w:bookmarkEnd w:id="0"/>
    </w:p>
    <w:p w14:paraId="4857BB3E">
      <w:pPr>
        <w:pStyle w:val="4"/>
        <w:spacing w:before="230" w:line="218" w:lineRule="auto"/>
        <w:ind w:left="54"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lang w:val="zh-CN"/>
        </w:rPr>
        <w:t>为确保我公司加热保温用丙烷供应公平、公正和公开地开展，我司决定通过招标方式确定</w:t>
      </w:r>
      <w:r>
        <w:rPr>
          <w:rFonts w:hint="eastAsia" w:ascii="仿宋" w:hAnsi="仿宋" w:eastAsia="仿宋" w:cs="仿宋"/>
          <w:color w:val="auto"/>
          <w:sz w:val="32"/>
          <w:szCs w:val="32"/>
          <w:highlight w:val="none"/>
          <w:lang w:val="zh-CN"/>
        </w:rPr>
        <w:t>2026年</w:t>
      </w:r>
      <w:r>
        <w:rPr>
          <w:rFonts w:hint="eastAsia" w:ascii="仿宋" w:hAnsi="仿宋" w:eastAsia="仿宋" w:cs="仿宋"/>
          <w:color w:val="auto"/>
          <w:sz w:val="32"/>
          <w:szCs w:val="32"/>
          <w:highlight w:val="none"/>
          <w:lang w:val="en-US" w:eastAsia="zh-CN"/>
        </w:rPr>
        <w:t>11</w:t>
      </w:r>
      <w:r>
        <w:rPr>
          <w:rFonts w:hint="eastAsia" w:ascii="仿宋" w:hAnsi="仿宋" w:eastAsia="仿宋" w:cs="仿宋"/>
          <w:color w:val="auto"/>
          <w:sz w:val="32"/>
          <w:szCs w:val="32"/>
          <w:highlight w:val="none"/>
          <w:lang w:val="zh-CN"/>
        </w:rPr>
        <w:t>月</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val="zh-CN"/>
        </w:rPr>
        <w:t>日至2027年</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lang w:val="zh-CN"/>
        </w:rPr>
        <w:t>月</w:t>
      </w: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lang w:val="zh-CN"/>
        </w:rPr>
        <w:t>日工业丙烷供应商。</w:t>
      </w:r>
    </w:p>
    <w:p w14:paraId="48DA69EA">
      <w:pPr>
        <w:autoSpaceDE w:val="0"/>
        <w:autoSpaceDN w:val="0"/>
        <w:adjustRightInd w:val="0"/>
        <w:spacing w:line="520" w:lineRule="exact"/>
        <w:jc w:val="both"/>
        <w:rPr>
          <w:rFonts w:hint="eastAsia" w:ascii="仿宋" w:hAnsi="仿宋" w:eastAsia="仿宋" w:cs="仿宋"/>
          <w:color w:val="auto"/>
          <w:sz w:val="32"/>
          <w:szCs w:val="32"/>
          <w:lang w:val="zh-CN"/>
        </w:rPr>
      </w:pPr>
      <w:r>
        <w:rPr>
          <w:rFonts w:hint="eastAsia" w:ascii="仿宋" w:hAnsi="仿宋" w:eastAsia="仿宋" w:cs="仿宋"/>
          <w:color w:val="auto"/>
          <w:kern w:val="0"/>
          <w:sz w:val="32"/>
          <w:szCs w:val="32"/>
          <w:lang w:val="zh-CN"/>
        </w:rPr>
        <w:t>本次</w:t>
      </w:r>
      <w:r>
        <w:rPr>
          <w:rFonts w:hint="eastAsia" w:ascii="仿宋" w:hAnsi="仿宋" w:eastAsia="仿宋" w:cs="仿宋"/>
          <w:b w:val="0"/>
          <w:bCs w:val="0"/>
          <w:color w:val="auto"/>
          <w:sz w:val="32"/>
          <w:szCs w:val="32"/>
          <w:lang w:val="en-US" w:eastAsia="zh-CN"/>
        </w:rPr>
        <w:t>招</w:t>
      </w:r>
      <w:r>
        <w:rPr>
          <w:rFonts w:hint="eastAsia" w:ascii="仿宋" w:hAnsi="仿宋" w:eastAsia="仿宋" w:cs="仿宋"/>
          <w:b w:val="0"/>
          <w:bCs w:val="0"/>
          <w:color w:val="auto"/>
          <w:kern w:val="0"/>
          <w:sz w:val="32"/>
          <w:szCs w:val="32"/>
          <w:lang w:val="zh-CN"/>
        </w:rPr>
        <w:t>标活动</w:t>
      </w:r>
      <w:r>
        <w:rPr>
          <w:rFonts w:hint="eastAsia" w:ascii="仿宋" w:hAnsi="仿宋" w:eastAsia="仿宋" w:cs="仿宋"/>
          <w:b w:val="0"/>
          <w:bCs w:val="0"/>
          <w:color w:val="auto"/>
          <w:sz w:val="32"/>
          <w:szCs w:val="32"/>
          <w:lang w:val="zh-CN"/>
        </w:rPr>
        <w:t>由我公司</w:t>
      </w:r>
      <w:r>
        <w:rPr>
          <w:rFonts w:hint="eastAsia" w:ascii="仿宋" w:hAnsi="仿宋" w:eastAsia="仿宋" w:cs="仿宋"/>
          <w:b w:val="0"/>
          <w:bCs w:val="0"/>
          <w:color w:val="auto"/>
          <w:sz w:val="32"/>
          <w:szCs w:val="32"/>
          <w:lang w:val="en-US" w:eastAsia="zh-CN"/>
        </w:rPr>
        <w:t>招</w:t>
      </w:r>
      <w:r>
        <w:rPr>
          <w:rFonts w:hint="eastAsia" w:ascii="仿宋" w:hAnsi="仿宋" w:eastAsia="仿宋" w:cs="仿宋"/>
          <w:b w:val="0"/>
          <w:bCs w:val="0"/>
          <w:color w:val="auto"/>
          <w:sz w:val="32"/>
          <w:szCs w:val="32"/>
          <w:lang w:val="zh-CN"/>
        </w:rPr>
        <w:t>标小</w:t>
      </w:r>
      <w:r>
        <w:rPr>
          <w:rFonts w:hint="eastAsia" w:ascii="仿宋" w:hAnsi="仿宋" w:eastAsia="仿宋" w:cs="仿宋"/>
          <w:color w:val="auto"/>
          <w:sz w:val="32"/>
          <w:szCs w:val="32"/>
          <w:lang w:val="zh-CN"/>
        </w:rPr>
        <w:t>组组织并定标。</w:t>
      </w:r>
    </w:p>
    <w:p w14:paraId="59020E3A">
      <w:pPr>
        <w:autoSpaceDE w:val="0"/>
        <w:autoSpaceDN w:val="0"/>
        <w:adjustRightInd w:val="0"/>
        <w:spacing w:line="520" w:lineRule="exact"/>
        <w:jc w:val="both"/>
        <w:rPr>
          <w:rFonts w:hint="eastAsia" w:ascii="仿宋" w:hAnsi="仿宋" w:eastAsia="仿宋" w:cs="仿宋"/>
          <w:b/>
          <w:bCs/>
          <w:color w:val="auto"/>
          <w:kern w:val="0"/>
          <w:sz w:val="32"/>
          <w:szCs w:val="32"/>
          <w:highlight w:val="none"/>
          <w:lang w:val="zh-CN"/>
        </w:rPr>
      </w:pPr>
      <w:r>
        <w:rPr>
          <w:rFonts w:hint="eastAsia" w:ascii="仿宋" w:hAnsi="仿宋" w:eastAsia="仿宋" w:cs="仿宋"/>
          <w:color w:val="auto"/>
          <w:sz w:val="32"/>
          <w:szCs w:val="32"/>
          <w:lang w:val="zh-CN"/>
        </w:rPr>
        <w:t>如有疑问，请与我司办公室联系，电话</w:t>
      </w:r>
      <w:r>
        <w:rPr>
          <w:rFonts w:hint="eastAsia" w:ascii="仿宋" w:hAnsi="仿宋" w:eastAsia="仿宋" w:cs="仿宋"/>
          <w:color w:val="auto"/>
          <w:sz w:val="32"/>
          <w:szCs w:val="32"/>
          <w:highlight w:val="none"/>
          <w:lang w:val="zh-CN"/>
        </w:rPr>
        <w:t>：</w:t>
      </w:r>
      <w:r>
        <w:rPr>
          <w:rFonts w:hint="eastAsia" w:ascii="仿宋" w:hAnsi="仿宋" w:eastAsia="仿宋" w:cs="仿宋"/>
          <w:color w:val="auto"/>
          <w:sz w:val="32"/>
          <w:szCs w:val="32"/>
          <w:highlight w:val="none"/>
          <w:lang w:val="en-US" w:eastAsia="zh-CN"/>
        </w:rPr>
        <w:t>0570-7929899</w:t>
      </w:r>
      <w:r>
        <w:rPr>
          <w:rFonts w:hint="eastAsia" w:ascii="仿宋" w:hAnsi="仿宋" w:eastAsia="仿宋" w:cs="仿宋"/>
          <w:color w:val="auto"/>
          <w:sz w:val="32"/>
          <w:szCs w:val="32"/>
          <w:highlight w:val="none"/>
          <w:lang w:val="zh-CN"/>
        </w:rPr>
        <w:t>。</w:t>
      </w:r>
    </w:p>
    <w:p w14:paraId="6EA97434">
      <w:pPr>
        <w:autoSpaceDE w:val="0"/>
        <w:autoSpaceDN w:val="0"/>
        <w:adjustRightInd w:val="0"/>
        <w:spacing w:line="520" w:lineRule="exact"/>
        <w:jc w:val="both"/>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招标方：江山温氏畜牧有限公司</w:t>
      </w:r>
    </w:p>
    <w:p w14:paraId="4BB5CFCB">
      <w:pPr>
        <w:autoSpaceDE w:val="0"/>
        <w:autoSpaceDN w:val="0"/>
        <w:adjustRightInd w:val="0"/>
        <w:spacing w:line="520" w:lineRule="exact"/>
        <w:jc w:val="both"/>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 xml:space="preserve">        衢州温氏畜牧有限公司</w:t>
      </w:r>
    </w:p>
    <w:p w14:paraId="6CC44429">
      <w:pPr>
        <w:autoSpaceDE w:val="0"/>
        <w:autoSpaceDN w:val="0"/>
        <w:adjustRightInd w:val="0"/>
        <w:spacing w:line="520" w:lineRule="exact"/>
        <w:jc w:val="both"/>
        <w:rPr>
          <w:rFonts w:hint="default" w:ascii="仿宋" w:hAnsi="仿宋" w:eastAsia="仿宋" w:cs="仿宋"/>
          <w:color w:val="auto"/>
          <w:kern w:val="0"/>
          <w:sz w:val="32"/>
          <w:szCs w:val="32"/>
          <w:highlight w:val="none"/>
          <w:lang w:val="en-US" w:eastAsia="zh-CN"/>
        </w:rPr>
      </w:pPr>
      <w:r>
        <w:rPr>
          <w:rFonts w:hint="eastAsia" w:ascii="仿宋" w:hAnsi="仿宋" w:eastAsia="仿宋" w:cs="仿宋"/>
          <w:b/>
          <w:bCs/>
          <w:color w:val="auto"/>
          <w:kern w:val="0"/>
          <w:sz w:val="32"/>
          <w:szCs w:val="32"/>
          <w:highlight w:val="none"/>
          <w:lang w:val="zh-CN"/>
        </w:rPr>
        <w:t>联系人：</w:t>
      </w:r>
      <w:r>
        <w:rPr>
          <w:rFonts w:hint="eastAsia" w:ascii="仿宋" w:hAnsi="仿宋" w:eastAsia="仿宋" w:cs="仿宋"/>
          <w:b w:val="0"/>
          <w:bCs w:val="0"/>
          <w:color w:val="auto"/>
          <w:kern w:val="0"/>
          <w:sz w:val="32"/>
          <w:szCs w:val="32"/>
          <w:highlight w:val="none"/>
          <w:lang w:val="en-US" w:eastAsia="zh-CN"/>
        </w:rPr>
        <w:t>陈冲</w:t>
      </w:r>
    </w:p>
    <w:p w14:paraId="1DCDEA4C">
      <w:pPr>
        <w:autoSpaceDE w:val="0"/>
        <w:autoSpaceDN w:val="0"/>
        <w:adjustRightInd w:val="0"/>
        <w:spacing w:line="520" w:lineRule="exact"/>
        <w:jc w:val="both"/>
        <w:rPr>
          <w:rFonts w:hint="default" w:ascii="仿宋" w:hAnsi="仿宋" w:eastAsia="仿宋" w:cs="仿宋"/>
          <w:color w:val="auto"/>
          <w:sz w:val="32"/>
          <w:szCs w:val="32"/>
          <w:highlight w:val="none"/>
          <w:lang w:val="en-US" w:eastAsia="zh-CN"/>
        </w:rPr>
      </w:pPr>
      <w:r>
        <w:rPr>
          <w:rFonts w:hint="eastAsia" w:ascii="仿宋" w:hAnsi="仿宋" w:eastAsia="仿宋" w:cs="仿宋"/>
          <w:b/>
          <w:bCs/>
          <w:color w:val="auto"/>
          <w:kern w:val="0"/>
          <w:sz w:val="32"/>
          <w:szCs w:val="32"/>
          <w:highlight w:val="none"/>
          <w:lang w:val="zh-CN"/>
        </w:rPr>
        <w:t>地  址：</w:t>
      </w:r>
      <w:r>
        <w:rPr>
          <w:rFonts w:hint="eastAsia" w:ascii="仿宋" w:hAnsi="仿宋" w:eastAsia="仿宋" w:cs="仿宋"/>
          <w:color w:val="auto"/>
          <w:kern w:val="0"/>
          <w:sz w:val="32"/>
          <w:szCs w:val="32"/>
          <w:highlight w:val="none"/>
          <w:lang w:val="zh-CN"/>
        </w:rPr>
        <w:t>浙江省衢州市</w:t>
      </w:r>
      <w:r>
        <w:rPr>
          <w:rFonts w:hint="eastAsia" w:ascii="仿宋" w:hAnsi="仿宋" w:eastAsia="仿宋" w:cs="仿宋"/>
          <w:color w:val="auto"/>
          <w:kern w:val="0"/>
          <w:sz w:val="32"/>
          <w:szCs w:val="32"/>
          <w:highlight w:val="none"/>
          <w:lang w:val="en-US" w:eastAsia="zh-CN"/>
        </w:rPr>
        <w:t>江山市贺村镇江山</w:t>
      </w:r>
      <w:r>
        <w:rPr>
          <w:rFonts w:hint="eastAsia" w:ascii="仿宋" w:hAnsi="仿宋" w:eastAsia="仿宋" w:cs="仿宋"/>
          <w:color w:val="auto"/>
          <w:kern w:val="0"/>
          <w:sz w:val="32"/>
          <w:szCs w:val="32"/>
          <w:highlight w:val="none"/>
          <w:lang w:val="zh-CN"/>
        </w:rPr>
        <w:t>温氏</w:t>
      </w:r>
      <w:r>
        <w:rPr>
          <w:rFonts w:hint="eastAsia" w:ascii="仿宋" w:hAnsi="仿宋" w:eastAsia="仿宋" w:cs="仿宋"/>
          <w:color w:val="auto"/>
          <w:kern w:val="0"/>
          <w:sz w:val="32"/>
          <w:szCs w:val="32"/>
          <w:highlight w:val="none"/>
          <w:lang w:val="en-US" w:eastAsia="zh-CN"/>
        </w:rPr>
        <w:t>畜牧有限公司</w:t>
      </w:r>
    </w:p>
    <w:p w14:paraId="7C6CCA62">
      <w:pPr>
        <w:autoSpaceDE w:val="0"/>
        <w:autoSpaceDN w:val="0"/>
        <w:adjustRightInd w:val="0"/>
        <w:spacing w:line="520" w:lineRule="exact"/>
        <w:jc w:val="both"/>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kern w:val="0"/>
          <w:sz w:val="32"/>
          <w:szCs w:val="32"/>
          <w:highlight w:val="none"/>
          <w:lang w:val="zh-CN"/>
        </w:rPr>
        <w:t>电  话：</w:t>
      </w:r>
      <w:r>
        <w:rPr>
          <w:rFonts w:hint="eastAsia" w:ascii="仿宋" w:hAnsi="仿宋" w:eastAsia="仿宋" w:cs="仿宋"/>
          <w:color w:val="auto"/>
          <w:kern w:val="0"/>
          <w:sz w:val="32"/>
          <w:szCs w:val="32"/>
          <w:highlight w:val="none"/>
          <w:lang w:val="zh-CN"/>
        </w:rPr>
        <w:t xml:space="preserve"> </w:t>
      </w:r>
      <w:r>
        <w:rPr>
          <w:rFonts w:hint="eastAsia" w:ascii="仿宋" w:hAnsi="仿宋" w:eastAsia="仿宋" w:cs="仿宋"/>
          <w:color w:val="auto"/>
          <w:sz w:val="32"/>
          <w:szCs w:val="32"/>
          <w:highlight w:val="none"/>
          <w:lang w:val="en-US" w:eastAsia="zh-CN"/>
        </w:rPr>
        <w:t>0570-7929899</w:t>
      </w:r>
    </w:p>
    <w:p w14:paraId="1595754F">
      <w:pPr>
        <w:autoSpaceDE w:val="0"/>
        <w:autoSpaceDN w:val="0"/>
        <w:adjustRightInd w:val="0"/>
        <w:spacing w:line="520" w:lineRule="exact"/>
        <w:jc w:val="both"/>
        <w:rPr>
          <w:rFonts w:hint="eastAsia" w:ascii="仿宋" w:hAnsi="仿宋" w:eastAsia="仿宋" w:cs="仿宋"/>
          <w:color w:val="auto"/>
          <w:kern w:val="0"/>
          <w:sz w:val="32"/>
          <w:szCs w:val="32"/>
          <w:highlight w:val="none"/>
          <w:lang w:val="zh-CN"/>
        </w:rPr>
      </w:pPr>
      <w:r>
        <w:rPr>
          <w:rFonts w:hint="eastAsia" w:ascii="仿宋" w:hAnsi="仿宋" w:eastAsia="仿宋" w:cs="仿宋"/>
          <w:b/>
          <w:bCs/>
          <w:color w:val="auto"/>
          <w:kern w:val="0"/>
          <w:sz w:val="32"/>
          <w:szCs w:val="32"/>
          <w:highlight w:val="none"/>
          <w:lang w:val="zh-CN"/>
        </w:rPr>
        <w:t>传  真：</w:t>
      </w:r>
    </w:p>
    <w:p w14:paraId="56E4D5D8">
      <w:pPr>
        <w:autoSpaceDE w:val="0"/>
        <w:autoSpaceDN w:val="0"/>
        <w:adjustRightInd w:val="0"/>
        <w:spacing w:line="460" w:lineRule="exact"/>
        <w:ind w:firstLine="5440" w:firstLineChars="17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en-US" w:eastAsia="zh-CN"/>
        </w:rPr>
        <w:t>浙南鸡业招标小组</w:t>
      </w:r>
    </w:p>
    <w:p w14:paraId="1B160F49">
      <w:pPr>
        <w:autoSpaceDE w:val="0"/>
        <w:autoSpaceDN w:val="0"/>
        <w:adjustRightInd w:val="0"/>
        <w:spacing w:line="460" w:lineRule="exact"/>
        <w:ind w:firstLine="5760" w:firstLineChars="18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2026年</w:t>
      </w:r>
      <w:r>
        <w:rPr>
          <w:rFonts w:hint="eastAsia" w:ascii="仿宋" w:hAnsi="仿宋" w:eastAsia="仿宋" w:cs="仿宋"/>
          <w:color w:val="auto"/>
          <w:sz w:val="32"/>
          <w:szCs w:val="32"/>
          <w:highlight w:val="none"/>
          <w:lang w:val="en-US" w:eastAsia="zh-CN"/>
        </w:rPr>
        <w:t>11</w:t>
      </w:r>
      <w:r>
        <w:rPr>
          <w:rFonts w:hint="eastAsia" w:ascii="仿宋" w:hAnsi="仿宋" w:eastAsia="仿宋" w:cs="仿宋"/>
          <w:color w:val="auto"/>
          <w:sz w:val="32"/>
          <w:szCs w:val="32"/>
          <w:highlight w:val="none"/>
          <w:lang w:val="zh-CN"/>
        </w:rPr>
        <w:t>月</w:t>
      </w:r>
      <w:r>
        <w:rPr>
          <w:rFonts w:hint="eastAsia" w:ascii="仿宋" w:hAnsi="仿宋" w:eastAsia="仿宋" w:cs="仿宋"/>
          <w:color w:val="auto"/>
          <w:sz w:val="32"/>
          <w:szCs w:val="32"/>
          <w:highlight w:val="none"/>
          <w:lang w:val="en-US" w:eastAsia="zh-CN"/>
        </w:rPr>
        <w:t>17</w:t>
      </w:r>
      <w:r>
        <w:rPr>
          <w:rFonts w:hint="eastAsia" w:ascii="仿宋" w:hAnsi="仿宋" w:eastAsia="仿宋" w:cs="仿宋"/>
          <w:color w:val="auto"/>
          <w:sz w:val="32"/>
          <w:szCs w:val="32"/>
          <w:highlight w:val="none"/>
          <w:lang w:val="zh-CN"/>
        </w:rPr>
        <w:t>日</w:t>
      </w:r>
    </w:p>
    <w:p w14:paraId="3F20FF2F">
      <w:pPr>
        <w:pStyle w:val="2"/>
        <w:jc w:val="both"/>
        <w:rPr>
          <w:rFonts w:hint="eastAsia" w:ascii="仿宋" w:hAnsi="仿宋" w:eastAsia="仿宋" w:cs="仿宋"/>
          <w:color w:val="auto"/>
          <w:sz w:val="32"/>
          <w:szCs w:val="32"/>
          <w:highlight w:val="none"/>
        </w:rPr>
      </w:pPr>
      <w:bookmarkStart w:id="1" w:name="_Toc510542516"/>
      <w:r>
        <w:rPr>
          <w:rFonts w:hint="eastAsia" w:ascii="仿宋" w:hAnsi="仿宋" w:eastAsia="仿宋" w:cs="仿宋"/>
          <w:color w:val="auto"/>
          <w:sz w:val="32"/>
          <w:szCs w:val="32"/>
          <w:highlight w:val="none"/>
        </w:rPr>
        <w:t>二、招 标 标 的</w:t>
      </w:r>
      <w:bookmarkEnd w:id="1"/>
    </w:p>
    <w:p w14:paraId="10EAE337">
      <w:pPr>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highlight w:val="none"/>
        </w:rPr>
        <w:t>本次招标标的为</w:t>
      </w:r>
      <w:r>
        <w:rPr>
          <w:rFonts w:hint="eastAsia" w:ascii="仿宋" w:hAnsi="仿宋" w:eastAsia="仿宋" w:cs="仿宋"/>
          <w:color w:val="auto"/>
          <w:sz w:val="32"/>
          <w:szCs w:val="32"/>
          <w:highlight w:val="none"/>
          <w:lang w:eastAsia="zh-CN"/>
        </w:rPr>
        <w:t>江山温氏畜牧有限公司、</w:t>
      </w:r>
      <w:r>
        <w:rPr>
          <w:rFonts w:hint="eastAsia" w:ascii="仿宋" w:hAnsi="仿宋" w:eastAsia="仿宋" w:cs="仿宋"/>
          <w:b w:val="0"/>
          <w:bCs w:val="0"/>
          <w:color w:val="auto"/>
          <w:sz w:val="32"/>
          <w:szCs w:val="32"/>
          <w:highlight w:val="none"/>
          <w:lang w:val="en-US" w:eastAsia="zh-CN"/>
        </w:rPr>
        <w:t>衢州温氏畜牧有限公司</w:t>
      </w:r>
      <w:r>
        <w:rPr>
          <w:rFonts w:hint="eastAsia" w:ascii="仿宋" w:hAnsi="仿宋" w:eastAsia="仿宋" w:cs="仿宋"/>
          <w:color w:val="auto"/>
          <w:sz w:val="32"/>
          <w:szCs w:val="32"/>
          <w:highlight w:val="none"/>
        </w:rPr>
        <w:t>工业丙烷</w:t>
      </w:r>
      <w:r>
        <w:rPr>
          <w:rFonts w:hint="eastAsia" w:ascii="仿宋" w:hAnsi="仿宋" w:eastAsia="仿宋" w:cs="仿宋"/>
          <w:color w:val="auto"/>
          <w:sz w:val="32"/>
          <w:szCs w:val="32"/>
        </w:rPr>
        <w:t>采购及配送业务，运输方式为公路运输，按实际净</w:t>
      </w:r>
      <w:r>
        <w:rPr>
          <w:rFonts w:hint="eastAsia" w:ascii="仿宋" w:hAnsi="仿宋" w:eastAsia="仿宋" w:cs="仿宋"/>
          <w:color w:val="auto"/>
          <w:sz w:val="32"/>
          <w:szCs w:val="32"/>
          <w:highlight w:val="none"/>
          <w:lang w:val="en-US" w:eastAsia="zh-CN"/>
        </w:rPr>
        <w:t>量</w:t>
      </w:r>
      <w:r>
        <w:rPr>
          <w:rFonts w:hint="eastAsia" w:ascii="仿宋" w:hAnsi="仿宋" w:eastAsia="仿宋" w:cs="仿宋"/>
          <w:color w:val="auto"/>
          <w:sz w:val="32"/>
          <w:szCs w:val="32"/>
        </w:rPr>
        <w:t>结算。</w:t>
      </w:r>
    </w:p>
    <w:p w14:paraId="0F3D588B">
      <w:pPr>
        <w:pStyle w:val="2"/>
        <w:jc w:val="both"/>
        <w:rPr>
          <w:rFonts w:hint="eastAsia" w:ascii="仿宋" w:hAnsi="仿宋" w:eastAsia="仿宋" w:cs="仿宋"/>
          <w:color w:val="auto"/>
          <w:sz w:val="32"/>
          <w:szCs w:val="32"/>
        </w:rPr>
      </w:pPr>
      <w:bookmarkStart w:id="2" w:name="_Toc510542517"/>
      <w:r>
        <w:rPr>
          <w:rFonts w:hint="eastAsia" w:ascii="仿宋" w:hAnsi="仿宋" w:eastAsia="仿宋" w:cs="仿宋"/>
          <w:color w:val="auto"/>
          <w:sz w:val="32"/>
          <w:szCs w:val="32"/>
        </w:rPr>
        <w:t>三、</w:t>
      </w:r>
      <w:r>
        <w:rPr>
          <w:rFonts w:hint="eastAsia" w:ascii="仿宋" w:hAnsi="仿宋" w:eastAsia="仿宋" w:cs="仿宋"/>
          <w:color w:val="auto"/>
          <w:sz w:val="32"/>
          <w:szCs w:val="32"/>
          <w:lang w:val="en-US" w:eastAsia="zh-CN"/>
        </w:rPr>
        <w:t>招</w:t>
      </w:r>
      <w:r>
        <w:rPr>
          <w:rFonts w:hint="eastAsia" w:ascii="仿宋" w:hAnsi="仿宋" w:eastAsia="仿宋" w:cs="仿宋"/>
          <w:color w:val="auto"/>
          <w:sz w:val="32"/>
          <w:szCs w:val="32"/>
        </w:rPr>
        <w:t xml:space="preserve"> 标 须 知</w:t>
      </w:r>
      <w:bookmarkEnd w:id="2"/>
    </w:p>
    <w:p w14:paraId="4D1C19FA">
      <w:pPr>
        <w:pStyle w:val="13"/>
        <w:jc w:val="both"/>
        <w:rPr>
          <w:rFonts w:hint="eastAsia" w:ascii="仿宋" w:hAnsi="仿宋" w:eastAsia="仿宋" w:cs="仿宋"/>
          <w:color w:val="auto"/>
          <w:sz w:val="32"/>
          <w:szCs w:val="32"/>
          <w:lang w:val="zh-CN"/>
        </w:rPr>
      </w:pPr>
      <w:bookmarkStart w:id="3" w:name="_Toc510542518"/>
      <w:r>
        <w:rPr>
          <w:rFonts w:hint="eastAsia" w:ascii="仿宋" w:hAnsi="仿宋" w:eastAsia="仿宋" w:cs="仿宋"/>
          <w:color w:val="auto"/>
          <w:sz w:val="32"/>
          <w:szCs w:val="32"/>
          <w:lang w:val="zh-CN"/>
        </w:rPr>
        <w:t>（一）</w:t>
      </w:r>
      <w:r>
        <w:rPr>
          <w:rFonts w:hint="eastAsia" w:ascii="仿宋" w:hAnsi="仿宋" w:eastAsia="仿宋" w:cs="仿宋"/>
          <w:color w:val="auto"/>
          <w:sz w:val="32"/>
          <w:szCs w:val="32"/>
          <w:lang w:val="en-US" w:eastAsia="zh-CN"/>
        </w:rPr>
        <w:t>招</w:t>
      </w:r>
      <w:r>
        <w:rPr>
          <w:rFonts w:hint="eastAsia" w:ascii="仿宋" w:hAnsi="仿宋" w:eastAsia="仿宋" w:cs="仿宋"/>
          <w:color w:val="auto"/>
          <w:sz w:val="32"/>
          <w:szCs w:val="32"/>
          <w:lang w:val="zh-CN"/>
        </w:rPr>
        <w:t>标要求</w:t>
      </w:r>
      <w:bookmarkEnd w:id="3"/>
    </w:p>
    <w:p w14:paraId="4980B069">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1.</w:t>
      </w:r>
      <w:r>
        <w:rPr>
          <w:rFonts w:hint="eastAsia" w:ascii="仿宋" w:hAnsi="仿宋" w:eastAsia="仿宋" w:cs="仿宋"/>
          <w:color w:val="auto"/>
          <w:sz w:val="32"/>
          <w:szCs w:val="32"/>
        </w:rPr>
        <w:t>投标单位的资质：</w:t>
      </w:r>
    </w:p>
    <w:p w14:paraId="5F96BA28">
      <w:pPr>
        <w:spacing w:line="560" w:lineRule="exact"/>
        <w:ind w:firstLine="640" w:firstLineChars="200"/>
        <w:jc w:val="both"/>
        <w:rPr>
          <w:rFonts w:hint="eastAsia" w:ascii="仿宋" w:hAnsi="仿宋" w:eastAsia="仿宋" w:cs="仿宋"/>
          <w:color w:val="0000FF"/>
          <w:sz w:val="32"/>
          <w:szCs w:val="32"/>
        </w:rPr>
      </w:pPr>
      <w:r>
        <w:rPr>
          <w:rFonts w:hint="eastAsia" w:ascii="仿宋" w:hAnsi="仿宋" w:eastAsia="仿宋" w:cs="仿宋"/>
          <w:color w:val="auto"/>
          <w:sz w:val="32"/>
          <w:szCs w:val="32"/>
        </w:rPr>
        <w:t>（1）具备危险化学品经营许可证、道路运输经营许可证（危险货物运输）等相关合法资质的企业或个体经营者；</w:t>
      </w:r>
    </w:p>
    <w:p w14:paraId="30DDA174">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2.</w:t>
      </w:r>
      <w:r>
        <w:rPr>
          <w:rFonts w:hint="eastAsia" w:ascii="仿宋" w:hAnsi="仿宋" w:eastAsia="仿宋" w:cs="仿宋"/>
          <w:color w:val="auto"/>
          <w:sz w:val="32"/>
          <w:szCs w:val="32"/>
        </w:rPr>
        <w:t>投标单位按照本</w:t>
      </w:r>
      <w:r>
        <w:rPr>
          <w:rFonts w:hint="eastAsia" w:ascii="仿宋" w:hAnsi="仿宋" w:eastAsia="仿宋" w:cs="仿宋"/>
          <w:color w:val="auto"/>
          <w:sz w:val="32"/>
          <w:szCs w:val="32"/>
          <w:lang w:val="en-US" w:eastAsia="zh-CN"/>
        </w:rPr>
        <w:t>招</w:t>
      </w:r>
      <w:r>
        <w:rPr>
          <w:rFonts w:hint="eastAsia" w:ascii="仿宋" w:hAnsi="仿宋" w:eastAsia="仿宋" w:cs="仿宋"/>
          <w:color w:val="auto"/>
          <w:sz w:val="32"/>
          <w:szCs w:val="32"/>
          <w:lang w:eastAsia="zh-CN"/>
        </w:rPr>
        <w:t>标</w:t>
      </w:r>
      <w:r>
        <w:rPr>
          <w:rFonts w:hint="eastAsia" w:ascii="仿宋" w:hAnsi="仿宋" w:eastAsia="仿宋" w:cs="仿宋"/>
          <w:color w:val="auto"/>
          <w:sz w:val="32"/>
          <w:szCs w:val="32"/>
        </w:rPr>
        <w:t>文件要求进行投标。</w:t>
      </w:r>
    </w:p>
    <w:p w14:paraId="5EA085FD">
      <w:pPr>
        <w:pStyle w:val="13"/>
        <w:jc w:val="both"/>
        <w:rPr>
          <w:rFonts w:hint="eastAsia" w:ascii="仿宋" w:hAnsi="仿宋" w:eastAsia="仿宋" w:cs="仿宋"/>
          <w:color w:val="auto"/>
          <w:sz w:val="32"/>
          <w:szCs w:val="32"/>
          <w:lang w:val="zh-CN"/>
        </w:rPr>
      </w:pPr>
      <w:bookmarkStart w:id="4" w:name="_Toc510542519"/>
      <w:r>
        <w:rPr>
          <w:rFonts w:hint="eastAsia" w:ascii="仿宋" w:hAnsi="仿宋" w:eastAsia="仿宋" w:cs="仿宋"/>
          <w:color w:val="auto"/>
          <w:sz w:val="32"/>
          <w:szCs w:val="32"/>
          <w:lang w:val="zh-CN"/>
        </w:rPr>
        <w:t>（二）投标流程</w:t>
      </w:r>
      <w:bookmarkEnd w:id="4"/>
    </w:p>
    <w:p w14:paraId="6461C15D">
      <w:pPr>
        <w:tabs>
          <w:tab w:val="left" w:pos="987"/>
        </w:tabs>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eastAsia="zh-CN"/>
        </w:rPr>
        <w:t>按温氏股份招标线上流程，中标方凭公司中标通知书为准签订供货合同，不中标者以转账方式退还投标保证金。</w:t>
      </w:r>
      <w:bookmarkStart w:id="5" w:name="_Toc510542520"/>
    </w:p>
    <w:p w14:paraId="3DC16E03">
      <w:pPr>
        <w:pStyle w:val="13"/>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（三）参与</w:t>
      </w:r>
      <w:r>
        <w:rPr>
          <w:rFonts w:hint="eastAsia" w:ascii="仿宋" w:hAnsi="仿宋" w:eastAsia="仿宋" w:cs="仿宋"/>
          <w:color w:val="auto"/>
          <w:sz w:val="32"/>
          <w:szCs w:val="32"/>
          <w:lang w:val="en-US" w:eastAsia="zh-CN"/>
        </w:rPr>
        <w:t>招</w:t>
      </w:r>
      <w:r>
        <w:rPr>
          <w:rFonts w:hint="eastAsia" w:ascii="仿宋" w:hAnsi="仿宋" w:eastAsia="仿宋" w:cs="仿宋"/>
          <w:color w:val="auto"/>
          <w:sz w:val="32"/>
          <w:szCs w:val="32"/>
          <w:lang w:val="zh-CN"/>
        </w:rPr>
        <w:t>标的需提交资质文件</w:t>
      </w:r>
      <w:bookmarkEnd w:id="5"/>
    </w:p>
    <w:p w14:paraId="5F3B53C3">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1.*登记表；</w:t>
      </w:r>
    </w:p>
    <w:p w14:paraId="5185C43C">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2.*投标承诺书；</w:t>
      </w:r>
    </w:p>
    <w:p w14:paraId="30875CAB">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3.*营业执照副本复印件（加盖公章），法定代表人身份证复印件，并签名；</w:t>
      </w:r>
    </w:p>
    <w:p w14:paraId="3013D32D">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4.*危险化学品经营许可证复印件；</w:t>
      </w:r>
    </w:p>
    <w:p w14:paraId="4F594A4C">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5.*道路运输经营许可证（危险货物运输）复印件；</w:t>
      </w:r>
    </w:p>
    <w:p w14:paraId="22182A3A">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6.*气瓶充装许可证复印件（自行充装时提供），或气源来源证明及充装单位资质材料；</w:t>
      </w:r>
    </w:p>
    <w:p w14:paraId="7CE64B99">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7.*运输车辆行驶证复印件、危险品运输保险复印件，驾驶员、押运员从业资格证复印件；</w:t>
      </w:r>
    </w:p>
    <w:p w14:paraId="3D70851F">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8.相关经营资质证书、荣誉证书复印件（加盖公章）；</w:t>
      </w:r>
    </w:p>
    <w:p w14:paraId="269A9E95">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9.投标人认为应补充的其他材料。</w:t>
      </w:r>
    </w:p>
    <w:p w14:paraId="7835C9AE">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说明：</w:t>
      </w:r>
      <w:r>
        <w:rPr>
          <w:rFonts w:hint="eastAsia" w:ascii="仿宋" w:hAnsi="仿宋" w:eastAsia="仿宋" w:cs="仿宋"/>
          <w:color w:val="FF0000"/>
          <w:sz w:val="32"/>
          <w:szCs w:val="32"/>
          <w:lang w:val="zh-CN"/>
        </w:rPr>
        <w:t>带“*”的为必须提交的材料</w:t>
      </w:r>
      <w:r>
        <w:rPr>
          <w:rFonts w:hint="eastAsia" w:ascii="仿宋" w:hAnsi="仿宋" w:eastAsia="仿宋" w:cs="仿宋"/>
          <w:color w:val="auto"/>
          <w:sz w:val="32"/>
          <w:szCs w:val="32"/>
          <w:lang w:val="zh-CN"/>
        </w:rPr>
        <w:t>，必需材料不全者，我公司有权拒绝其投标。其他的为补充材料，作为相同条件下评标的优先条件。</w:t>
      </w:r>
    </w:p>
    <w:p w14:paraId="34018EBE">
      <w:pPr>
        <w:pStyle w:val="13"/>
        <w:jc w:val="both"/>
        <w:rPr>
          <w:rFonts w:hint="eastAsia" w:ascii="仿宋" w:hAnsi="仿宋" w:eastAsia="仿宋" w:cs="仿宋"/>
          <w:color w:val="auto"/>
          <w:sz w:val="32"/>
          <w:szCs w:val="32"/>
        </w:rPr>
      </w:pPr>
      <w:bookmarkStart w:id="6" w:name="_Toc510542521"/>
      <w:r>
        <w:rPr>
          <w:rFonts w:hint="eastAsia" w:ascii="仿宋" w:hAnsi="仿宋" w:eastAsia="仿宋" w:cs="仿宋"/>
          <w:color w:val="auto"/>
          <w:sz w:val="32"/>
          <w:szCs w:val="32"/>
        </w:rPr>
        <w:t>（四）投标报价</w:t>
      </w:r>
      <w:bookmarkEnd w:id="6"/>
    </w:p>
    <w:p w14:paraId="39633414">
      <w:pPr>
        <w:spacing w:line="56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lang w:eastAsia="zh-CN"/>
        </w:rPr>
        <w:t>1.</w:t>
      </w:r>
      <w:r>
        <w:rPr>
          <w:rFonts w:hint="eastAsia" w:ascii="仿宋" w:hAnsi="仿宋" w:eastAsia="仿宋" w:cs="仿宋"/>
          <w:color w:val="auto"/>
          <w:sz w:val="32"/>
          <w:szCs w:val="32"/>
        </w:rPr>
        <w:t>投标以单条标为单位进行报价。报价含丙烷货值、运输费、装卸费，投标价格单位为：元/瓶，精确到1元（元/瓶）；气瓶押金单独列明，单位为：元/瓶，押金不计入货款。</w:t>
      </w:r>
      <w:r>
        <w:rPr>
          <w:rFonts w:hint="eastAsia" w:ascii="仿宋" w:hAnsi="仿宋" w:eastAsia="仿宋" w:cs="仿宋"/>
          <w:color w:val="auto"/>
          <w:sz w:val="32"/>
          <w:szCs w:val="32"/>
          <w:highlight w:val="none"/>
        </w:rPr>
        <w:t>报价按每瓶净重</w:t>
      </w:r>
      <w:r>
        <w:rPr>
          <w:rFonts w:hint="eastAsia" w:ascii="仿宋" w:hAnsi="仿宋" w:eastAsia="仿宋" w:cs="仿宋"/>
          <w:color w:val="auto"/>
          <w:sz w:val="32"/>
          <w:szCs w:val="32"/>
          <w:highlight w:val="none"/>
          <w:lang w:val="en-US" w:eastAsia="zh-CN"/>
        </w:rPr>
        <w:t>48</w:t>
      </w:r>
      <w:r>
        <w:rPr>
          <w:rFonts w:hint="eastAsia" w:ascii="仿宋" w:hAnsi="仿宋" w:eastAsia="仿宋" w:cs="仿宋"/>
          <w:color w:val="auto"/>
          <w:sz w:val="32"/>
          <w:szCs w:val="32"/>
          <w:highlight w:val="none"/>
        </w:rPr>
        <w:t>kg。</w:t>
      </w:r>
    </w:p>
    <w:p w14:paraId="4E61DD05">
      <w:pPr>
        <w:spacing w:line="56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2.</w:t>
      </w:r>
      <w:r>
        <w:rPr>
          <w:rFonts w:hint="eastAsia" w:ascii="仿宋" w:hAnsi="仿宋" w:eastAsia="仿宋" w:cs="仿宋"/>
          <w:color w:val="auto"/>
          <w:sz w:val="32"/>
          <w:szCs w:val="32"/>
          <w:highlight w:val="none"/>
        </w:rPr>
        <w:t>附表中列出的采购量为预估量，会随着公司的发展而调整</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如遇寒冬或暖冬预估使用量可能有增减</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原则上较预估量的增减幅度不超过±20%，超出部分由双方另行协商确定价格；结算以当月实际采购净重为准。计量按实际净重结算：现场共同过磅，扣除皮重、残液重量，残液由供方统一回收，不计入我方采购重量；每瓶以标准充装净重</w:t>
      </w:r>
      <w:r>
        <w:rPr>
          <w:rFonts w:hint="eastAsia" w:ascii="仿宋" w:hAnsi="仿宋" w:eastAsia="仿宋" w:cs="仿宋"/>
          <w:color w:val="auto"/>
          <w:sz w:val="32"/>
          <w:szCs w:val="32"/>
          <w:highlight w:val="none"/>
          <w:lang w:val="en-US" w:eastAsia="zh-CN"/>
        </w:rPr>
        <w:t>48</w:t>
      </w:r>
      <w:r>
        <w:rPr>
          <w:rFonts w:hint="eastAsia" w:ascii="仿宋" w:hAnsi="仿宋" w:eastAsia="仿宋" w:cs="仿宋"/>
          <w:color w:val="auto"/>
          <w:sz w:val="32"/>
          <w:szCs w:val="32"/>
          <w:highlight w:val="none"/>
        </w:rPr>
        <w:t>kg为基准，单瓶充装量允差±0.5kg。投标方应结合自身气源、运输及成本情况审慎报价，我公司不再额外支付其他费用。</w:t>
      </w:r>
    </w:p>
    <w:p w14:paraId="6D993A5D">
      <w:pPr>
        <w:spacing w:line="560" w:lineRule="exact"/>
        <w:ind w:firstLine="640" w:firstLineChars="200"/>
        <w:jc w:val="both"/>
        <w:rPr>
          <w:rFonts w:hint="eastAsia"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rPr>
        <w:t>即：货款=投标单价（元/瓶）×当月实际采购</w:t>
      </w:r>
      <w:r>
        <w:rPr>
          <w:rFonts w:hint="eastAsia" w:ascii="仿宋" w:hAnsi="仿宋" w:eastAsia="仿宋" w:cs="仿宋"/>
          <w:color w:val="auto"/>
          <w:sz w:val="32"/>
          <w:szCs w:val="32"/>
          <w:highlight w:val="none"/>
          <w:lang w:val="en-US" w:eastAsia="zh-CN"/>
        </w:rPr>
        <w:t>数量</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瓶</w:t>
      </w:r>
      <w:r>
        <w:rPr>
          <w:rFonts w:hint="eastAsia" w:ascii="仿宋" w:hAnsi="仿宋" w:eastAsia="仿宋" w:cs="仿宋"/>
          <w:color w:val="auto"/>
          <w:sz w:val="32"/>
          <w:szCs w:val="32"/>
          <w:highlight w:val="none"/>
        </w:rPr>
        <w:t>）。</w:t>
      </w:r>
    </w:p>
    <w:p w14:paraId="0D75BD3D">
      <w:pPr>
        <w:pStyle w:val="13"/>
        <w:jc w:val="both"/>
        <w:rPr>
          <w:rFonts w:hint="default" w:ascii="仿宋" w:hAnsi="仿宋" w:eastAsia="仿宋" w:cs="仿宋"/>
          <w:color w:val="auto"/>
          <w:sz w:val="32"/>
          <w:szCs w:val="32"/>
          <w:lang w:val="en-US" w:eastAsia="zh-CN"/>
        </w:rPr>
      </w:pPr>
      <w:bookmarkStart w:id="7" w:name="_Toc510542522"/>
      <w:r>
        <w:rPr>
          <w:rFonts w:hint="eastAsia" w:ascii="仿宋" w:hAnsi="仿宋" w:eastAsia="仿宋" w:cs="仿宋"/>
          <w:color w:val="auto"/>
          <w:sz w:val="32"/>
          <w:szCs w:val="32"/>
          <w:lang w:val="zh-CN"/>
        </w:rPr>
        <w:t>（五）技术要求、配送及商务要求</w:t>
      </w:r>
      <w:bookmarkEnd w:id="7"/>
    </w:p>
    <w:p w14:paraId="27D62477">
      <w:pPr>
        <w:spacing w:line="560" w:lineRule="exact"/>
        <w:ind w:firstLine="640" w:firstLineChars="200"/>
        <w:jc w:val="both"/>
        <w:rPr>
          <w:rFonts w:hint="eastAsia" w:ascii="仿宋" w:hAnsi="仿宋" w:eastAsia="仿宋" w:cs="仿宋"/>
          <w:color w:val="auto"/>
          <w:sz w:val="32"/>
          <w:szCs w:val="32"/>
        </w:rPr>
      </w:pPr>
      <w:bookmarkStart w:id="8" w:name="_Toc510542523"/>
      <w:r>
        <w:rPr>
          <w:rFonts w:hint="eastAsia" w:ascii="仿宋" w:hAnsi="仿宋" w:eastAsia="仿宋" w:cs="仿宋"/>
          <w:color w:val="auto"/>
          <w:sz w:val="32"/>
          <w:szCs w:val="32"/>
        </w:rPr>
        <w:t>1.2  货物名称与标识</w:t>
      </w:r>
    </w:p>
    <w:p w14:paraId="3D842F9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货物名称：商品丙烷（液化丙烷，英文 Propane）；分子式 C3H8，相对分子质量 44.10，CAS 号 74-98-6，联合国危险货物编号 UN 1978，列入《危险化学品目录》序号 139，危险性类别为易燃气体（类别 1）及加压气体。</w:t>
      </w:r>
    </w:p>
    <w:p w14:paraId="13F9DCFD">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1.3  适用范围</w:t>
      </w:r>
    </w:p>
    <w:p w14:paraId="310F2776">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本技术要求适用于本项目丙烷的质量、包装、运输、交付、验收及伴随服务。本技术要求未尽事宜，按现行有效的国家</w:t>
      </w:r>
      <w:r>
        <w:rPr>
          <w:rFonts w:hint="eastAsia" w:ascii="仿宋" w:hAnsi="仿宋" w:eastAsia="仿宋" w:cs="仿宋"/>
          <w:color w:val="auto"/>
          <w:sz w:val="32"/>
          <w:szCs w:val="32"/>
          <w:lang w:eastAsia="zh-CN"/>
        </w:rPr>
        <w:t>法律法规</w:t>
      </w:r>
      <w:r>
        <w:rPr>
          <w:rFonts w:hint="eastAsia" w:ascii="仿宋" w:hAnsi="仿宋" w:eastAsia="仿宋" w:cs="仿宋"/>
          <w:color w:val="auto"/>
          <w:sz w:val="32"/>
          <w:szCs w:val="32"/>
        </w:rPr>
        <w:t>和强制性标准执行；中标人提供的标准应不低于本技术要求规定。</w:t>
      </w:r>
    </w:p>
    <w:p w14:paraId="07C45FA4">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  货物需求一览表</w:t>
      </w:r>
    </w:p>
    <w:p w14:paraId="77712837">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表 2-1  货物需求一览表</w:t>
      </w:r>
    </w:p>
    <w:tbl>
      <w:tblPr>
        <w:tblStyle w:val="17"/>
        <w:tblpPr w:leftFromText="180" w:rightFromText="180" w:vertAnchor="text" w:horzAnchor="page" w:tblpX="991" w:tblpY="99"/>
        <w:tblOverlap w:val="never"/>
        <w:tblW w:w="10331" w:type="dxa"/>
        <w:jc w:val="center"/>
        <w:tblLayout w:type="autofit"/>
        <w:tblCellMar>
          <w:top w:w="0" w:type="dxa"/>
          <w:left w:w="108" w:type="dxa"/>
          <w:bottom w:w="0" w:type="dxa"/>
          <w:right w:w="108" w:type="dxa"/>
        </w:tblCellMar>
      </w:tblPr>
      <w:tblGrid>
        <w:gridCol w:w="564"/>
        <w:gridCol w:w="1440"/>
        <w:gridCol w:w="2976"/>
        <w:gridCol w:w="776"/>
        <w:gridCol w:w="1616"/>
        <w:gridCol w:w="1296"/>
        <w:gridCol w:w="1663"/>
      </w:tblGrid>
      <w:tr w14:paraId="32775146">
        <w:tblPrEx>
          <w:tblCellMar>
            <w:top w:w="0" w:type="dxa"/>
            <w:left w:w="108" w:type="dxa"/>
            <w:bottom w:w="0" w:type="dxa"/>
            <w:right w:w="108" w:type="dxa"/>
          </w:tblCellMar>
        </w:tblPrEx>
        <w:trPr>
          <w:cantSplit/>
          <w:tblHeader/>
          <w:jc w:val="center"/>
        </w:trPr>
        <w:tc>
          <w:tcPr>
            <w:tcW w:w="56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3C0E7EF">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序号</w:t>
            </w:r>
          </w:p>
        </w:tc>
        <w:tc>
          <w:tcPr>
            <w:tcW w:w="1440"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E44ED60">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货物名称</w:t>
            </w:r>
          </w:p>
        </w:tc>
        <w:tc>
          <w:tcPr>
            <w:tcW w:w="297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8C8B0AF">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主要规格/技术要求</w:t>
            </w:r>
          </w:p>
        </w:tc>
        <w:tc>
          <w:tcPr>
            <w:tcW w:w="77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E09EADA">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单位</w:t>
            </w:r>
          </w:p>
        </w:tc>
        <w:tc>
          <w:tcPr>
            <w:tcW w:w="16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D3703F4">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预估数量</w:t>
            </w:r>
          </w:p>
        </w:tc>
        <w:tc>
          <w:tcPr>
            <w:tcW w:w="129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37207F3">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交货期</w:t>
            </w:r>
          </w:p>
        </w:tc>
        <w:tc>
          <w:tcPr>
            <w:tcW w:w="1663"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157050FE">
            <w:pPr>
              <w:spacing w:line="240" w:lineRule="auto"/>
              <w:ind w:left="0" w:leftChars="0" w:right="0" w:rightChars="0"/>
              <w:jc w:val="both"/>
              <w:rPr>
                <w:rFonts w:hint="eastAsia" w:ascii="仿宋" w:hAnsi="仿宋" w:eastAsia="仿宋" w:cs="仿宋"/>
                <w:color w:val="0000FF"/>
                <w:sz w:val="32"/>
                <w:szCs w:val="32"/>
              </w:rPr>
            </w:pPr>
            <w:r>
              <w:rPr>
                <w:rFonts w:hint="eastAsia" w:ascii="仿宋" w:hAnsi="仿宋" w:eastAsia="仿宋" w:cs="仿宋"/>
                <w:color w:val="auto"/>
                <w:sz w:val="32"/>
                <w:szCs w:val="32"/>
              </w:rPr>
              <w:t>交货地点</w:t>
            </w:r>
          </w:p>
        </w:tc>
      </w:tr>
      <w:tr w14:paraId="40D2D2A3">
        <w:tblPrEx>
          <w:tblCellMar>
            <w:top w:w="0" w:type="dxa"/>
            <w:left w:w="108" w:type="dxa"/>
            <w:bottom w:w="0" w:type="dxa"/>
            <w:right w:w="108" w:type="dxa"/>
          </w:tblCellMar>
        </w:tblPrEx>
        <w:trPr>
          <w:cantSplit/>
          <w:jc w:val="center"/>
        </w:trPr>
        <w:tc>
          <w:tcPr>
            <w:tcW w:w="564" w:type="dxa"/>
            <w:tcBorders>
              <w:top w:val="single" w:color="000000" w:sz="4" w:space="0"/>
              <w:left w:val="single" w:color="000000" w:sz="4" w:space="0"/>
              <w:bottom w:val="single" w:color="000000" w:sz="4" w:space="0"/>
              <w:right w:val="single" w:color="000000" w:sz="4" w:space="0"/>
            </w:tcBorders>
            <w:vAlign w:val="center"/>
          </w:tcPr>
          <w:p w14:paraId="23A0ADAB">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1</w:t>
            </w:r>
          </w:p>
        </w:tc>
        <w:tc>
          <w:tcPr>
            <w:tcW w:w="1440" w:type="dxa"/>
            <w:vMerge w:val="restart"/>
            <w:tcBorders>
              <w:top w:val="single" w:color="000000" w:sz="4" w:space="0"/>
              <w:left w:val="single" w:color="000000" w:sz="4" w:space="0"/>
              <w:right w:val="single" w:color="000000" w:sz="4" w:space="0"/>
            </w:tcBorders>
            <w:vAlign w:val="center"/>
          </w:tcPr>
          <w:p w14:paraId="778C0106">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商品丙烷（液化丙烷）</w:t>
            </w:r>
          </w:p>
        </w:tc>
        <w:tc>
          <w:tcPr>
            <w:tcW w:w="2976" w:type="dxa"/>
            <w:vMerge w:val="restart"/>
            <w:tcBorders>
              <w:top w:val="single" w:color="000000" w:sz="4" w:space="0"/>
              <w:left w:val="single" w:color="000000" w:sz="4" w:space="0"/>
              <w:right w:val="single" w:color="000000" w:sz="4" w:space="0"/>
            </w:tcBorders>
            <w:vAlign w:val="center"/>
          </w:tcPr>
          <w:p w14:paraId="3FAC1EE6">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符合 GB 11174—2011 商品丙烷；C3 烃类组分体积分数 ≥ 95%；钢质气瓶配送</w:t>
            </w:r>
          </w:p>
        </w:tc>
        <w:tc>
          <w:tcPr>
            <w:tcW w:w="776" w:type="dxa"/>
            <w:vMerge w:val="restart"/>
            <w:tcBorders>
              <w:top w:val="single" w:color="000000" w:sz="4" w:space="0"/>
              <w:left w:val="single" w:color="000000" w:sz="4" w:space="0"/>
              <w:right w:val="single" w:color="000000" w:sz="4" w:space="0"/>
            </w:tcBorders>
            <w:vAlign w:val="center"/>
          </w:tcPr>
          <w:p w14:paraId="5671B90A">
            <w:pPr>
              <w:spacing w:line="240" w:lineRule="auto"/>
              <w:ind w:left="0" w:leftChars="0" w:right="0" w:rightChars="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瓶</w:t>
            </w:r>
          </w:p>
        </w:tc>
        <w:tc>
          <w:tcPr>
            <w:tcW w:w="1616" w:type="dxa"/>
            <w:tcBorders>
              <w:top w:val="single" w:color="000000" w:sz="4" w:space="0"/>
              <w:left w:val="single" w:color="000000" w:sz="4" w:space="0"/>
              <w:bottom w:val="single" w:color="000000" w:sz="4" w:space="0"/>
              <w:right w:val="single" w:color="000000" w:sz="4" w:space="0"/>
            </w:tcBorders>
            <w:vAlign w:val="center"/>
          </w:tcPr>
          <w:p w14:paraId="7704537C">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1200</w:t>
            </w:r>
            <w:r>
              <w:rPr>
                <w:rFonts w:hint="eastAsia" w:ascii="仿宋" w:hAnsi="仿宋" w:eastAsia="仿宋" w:cs="仿宋"/>
                <w:color w:val="auto"/>
                <w:sz w:val="32"/>
                <w:szCs w:val="32"/>
              </w:rPr>
              <w:t>】</w:t>
            </w:r>
          </w:p>
        </w:tc>
        <w:tc>
          <w:tcPr>
            <w:tcW w:w="1296" w:type="dxa"/>
            <w:vMerge w:val="restart"/>
            <w:tcBorders>
              <w:top w:val="single" w:color="000000" w:sz="4" w:space="0"/>
              <w:left w:val="single" w:color="000000" w:sz="4" w:space="0"/>
              <w:right w:val="single" w:color="000000" w:sz="4" w:space="0"/>
            </w:tcBorders>
            <w:vAlign w:val="center"/>
          </w:tcPr>
          <w:p w14:paraId="35FC7D56">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按订单 24小时内送达</w:t>
            </w:r>
          </w:p>
        </w:tc>
        <w:tc>
          <w:tcPr>
            <w:tcW w:w="1663" w:type="dxa"/>
            <w:tcBorders>
              <w:top w:val="single" w:color="000000" w:sz="4" w:space="0"/>
              <w:left w:val="single" w:color="000000" w:sz="4" w:space="0"/>
              <w:bottom w:val="single" w:color="000000" w:sz="4" w:space="0"/>
              <w:right w:val="single" w:color="000000" w:sz="4" w:space="0"/>
            </w:tcBorders>
            <w:vAlign w:val="center"/>
          </w:tcPr>
          <w:p w14:paraId="5A5B8D05">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吴村种鸡场</w:t>
            </w:r>
            <w:r>
              <w:rPr>
                <w:rFonts w:hint="eastAsia" w:ascii="仿宋" w:hAnsi="仿宋" w:eastAsia="仿宋" w:cs="仿宋"/>
                <w:color w:val="auto"/>
                <w:sz w:val="32"/>
                <w:szCs w:val="32"/>
              </w:rPr>
              <w:t>】</w:t>
            </w:r>
          </w:p>
        </w:tc>
      </w:tr>
      <w:tr w14:paraId="538FEBCF">
        <w:tblPrEx>
          <w:tblCellMar>
            <w:top w:w="0" w:type="dxa"/>
            <w:left w:w="108" w:type="dxa"/>
            <w:bottom w:w="0" w:type="dxa"/>
            <w:right w:w="108" w:type="dxa"/>
          </w:tblCellMar>
        </w:tblPrEx>
        <w:trPr>
          <w:cantSplit/>
          <w:jc w:val="center"/>
        </w:trPr>
        <w:tc>
          <w:tcPr>
            <w:tcW w:w="564" w:type="dxa"/>
            <w:tcBorders>
              <w:top w:val="single" w:color="000000" w:sz="4" w:space="0"/>
              <w:left w:val="single" w:color="000000" w:sz="4" w:space="0"/>
              <w:bottom w:val="single" w:color="000000" w:sz="4" w:space="0"/>
              <w:right w:val="single" w:color="000000" w:sz="4" w:space="0"/>
            </w:tcBorders>
            <w:vAlign w:val="center"/>
          </w:tcPr>
          <w:p w14:paraId="3937FDAD">
            <w:pPr>
              <w:spacing w:line="240" w:lineRule="auto"/>
              <w:ind w:left="0" w:leftChars="0" w:right="0" w:rightChars="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w:t>
            </w:r>
          </w:p>
        </w:tc>
        <w:tc>
          <w:tcPr>
            <w:tcW w:w="1440" w:type="dxa"/>
            <w:vMerge w:val="continue"/>
            <w:tcBorders>
              <w:left w:val="single" w:color="000000" w:sz="4" w:space="0"/>
              <w:bottom w:val="single" w:color="000000" w:sz="4" w:space="0"/>
              <w:right w:val="single" w:color="000000" w:sz="4" w:space="0"/>
            </w:tcBorders>
            <w:vAlign w:val="center"/>
          </w:tcPr>
          <w:p w14:paraId="28B4EBD3">
            <w:pPr>
              <w:spacing w:line="240" w:lineRule="auto"/>
              <w:ind w:left="0" w:leftChars="0" w:right="0" w:rightChars="0" w:firstLine="0" w:firstLineChars="0"/>
              <w:jc w:val="both"/>
              <w:rPr>
                <w:rFonts w:hint="eastAsia" w:ascii="仿宋" w:hAnsi="仿宋" w:eastAsia="仿宋" w:cs="仿宋"/>
                <w:color w:val="auto"/>
                <w:sz w:val="32"/>
                <w:szCs w:val="32"/>
              </w:rPr>
            </w:pPr>
          </w:p>
        </w:tc>
        <w:tc>
          <w:tcPr>
            <w:tcW w:w="2976" w:type="dxa"/>
            <w:vMerge w:val="continue"/>
            <w:tcBorders>
              <w:left w:val="single" w:color="000000" w:sz="4" w:space="0"/>
              <w:bottom w:val="single" w:color="000000" w:sz="4" w:space="0"/>
              <w:right w:val="single" w:color="000000" w:sz="4" w:space="0"/>
            </w:tcBorders>
            <w:vAlign w:val="center"/>
          </w:tcPr>
          <w:p w14:paraId="66BCAE9D">
            <w:pPr>
              <w:spacing w:line="240" w:lineRule="auto"/>
              <w:ind w:left="0" w:leftChars="0" w:right="0" w:rightChars="0" w:firstLine="0" w:firstLineChars="0"/>
              <w:jc w:val="both"/>
              <w:rPr>
                <w:rFonts w:hint="eastAsia" w:ascii="仿宋" w:hAnsi="仿宋" w:eastAsia="仿宋" w:cs="仿宋"/>
                <w:color w:val="auto"/>
                <w:sz w:val="32"/>
                <w:szCs w:val="32"/>
              </w:rPr>
            </w:pPr>
          </w:p>
        </w:tc>
        <w:tc>
          <w:tcPr>
            <w:tcW w:w="776" w:type="dxa"/>
            <w:vMerge w:val="continue"/>
            <w:tcBorders>
              <w:left w:val="single" w:color="000000" w:sz="4" w:space="0"/>
              <w:bottom w:val="single" w:color="000000" w:sz="4" w:space="0"/>
              <w:right w:val="single" w:color="000000" w:sz="4" w:space="0"/>
            </w:tcBorders>
            <w:vAlign w:val="center"/>
          </w:tcPr>
          <w:p w14:paraId="52EC671A">
            <w:pPr>
              <w:spacing w:line="240" w:lineRule="auto"/>
              <w:ind w:left="0" w:leftChars="0" w:right="0" w:rightChars="0" w:firstLine="0" w:firstLineChars="0"/>
              <w:jc w:val="both"/>
              <w:rPr>
                <w:rFonts w:hint="eastAsia" w:ascii="仿宋" w:hAnsi="仿宋" w:eastAsia="仿宋" w:cs="仿宋"/>
                <w:color w:val="auto"/>
                <w:sz w:val="32"/>
                <w:szCs w:val="32"/>
              </w:rPr>
            </w:pPr>
          </w:p>
        </w:tc>
        <w:tc>
          <w:tcPr>
            <w:tcW w:w="1616" w:type="dxa"/>
            <w:tcBorders>
              <w:top w:val="single" w:color="000000" w:sz="4" w:space="0"/>
              <w:left w:val="single" w:color="000000" w:sz="4" w:space="0"/>
              <w:bottom w:val="single" w:color="000000" w:sz="4" w:space="0"/>
              <w:right w:val="single" w:color="000000" w:sz="4" w:space="0"/>
            </w:tcBorders>
            <w:vAlign w:val="center"/>
          </w:tcPr>
          <w:p w14:paraId="0B6A7185">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1800</w:t>
            </w:r>
            <w:r>
              <w:rPr>
                <w:rFonts w:hint="eastAsia" w:ascii="仿宋" w:hAnsi="仿宋" w:eastAsia="仿宋" w:cs="仿宋"/>
                <w:color w:val="auto"/>
                <w:sz w:val="32"/>
                <w:szCs w:val="32"/>
                <w:highlight w:val="none"/>
              </w:rPr>
              <w:t>】</w:t>
            </w:r>
          </w:p>
        </w:tc>
        <w:tc>
          <w:tcPr>
            <w:tcW w:w="1296" w:type="dxa"/>
            <w:vMerge w:val="continue"/>
            <w:tcBorders>
              <w:left w:val="single" w:color="000000" w:sz="4" w:space="0"/>
              <w:bottom w:val="single" w:color="000000" w:sz="4" w:space="0"/>
              <w:right w:val="single" w:color="000000" w:sz="4" w:space="0"/>
            </w:tcBorders>
            <w:vAlign w:val="center"/>
          </w:tcPr>
          <w:p w14:paraId="200C932D">
            <w:pPr>
              <w:spacing w:line="240" w:lineRule="auto"/>
              <w:ind w:left="0" w:leftChars="0" w:right="0" w:rightChars="0" w:firstLine="0" w:firstLineChars="0"/>
              <w:jc w:val="both"/>
              <w:rPr>
                <w:rFonts w:hint="eastAsia" w:ascii="仿宋" w:hAnsi="仿宋" w:eastAsia="仿宋" w:cs="仿宋"/>
                <w:color w:val="auto"/>
                <w:sz w:val="32"/>
                <w:szCs w:val="32"/>
              </w:rPr>
            </w:pPr>
          </w:p>
        </w:tc>
        <w:tc>
          <w:tcPr>
            <w:tcW w:w="1663" w:type="dxa"/>
            <w:tcBorders>
              <w:top w:val="single" w:color="000000" w:sz="4" w:space="0"/>
              <w:left w:val="single" w:color="000000" w:sz="4" w:space="0"/>
              <w:bottom w:val="single" w:color="000000" w:sz="4" w:space="0"/>
              <w:right w:val="single" w:color="000000" w:sz="4" w:space="0"/>
            </w:tcBorders>
            <w:vAlign w:val="center"/>
          </w:tcPr>
          <w:p w14:paraId="2CE86499">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highlight w:val="none"/>
                <w:lang w:val="en-US" w:eastAsia="zh-CN"/>
              </w:rPr>
              <w:t>大王山种鸡场</w:t>
            </w:r>
            <w:r>
              <w:rPr>
                <w:rFonts w:hint="eastAsia" w:ascii="仿宋" w:hAnsi="仿宋" w:eastAsia="仿宋" w:cs="仿宋"/>
                <w:color w:val="auto"/>
                <w:sz w:val="32"/>
                <w:szCs w:val="32"/>
                <w:highlight w:val="none"/>
              </w:rPr>
              <w:t>】</w:t>
            </w:r>
          </w:p>
        </w:tc>
      </w:tr>
    </w:tbl>
    <w:p w14:paraId="7714EEDE">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注：数量为预估量，按实际订单结算；具体瓶重规格</w:t>
      </w:r>
      <w:r>
        <w:rPr>
          <w:rFonts w:hint="eastAsia" w:ascii="仿宋" w:hAnsi="仿宋" w:eastAsia="仿宋" w:cs="仿宋"/>
          <w:color w:val="auto"/>
          <w:sz w:val="32"/>
          <w:szCs w:val="32"/>
          <w:lang w:val="en-US" w:eastAsia="zh-CN"/>
        </w:rPr>
        <w:t>为48</w:t>
      </w:r>
      <w:r>
        <w:rPr>
          <w:rFonts w:hint="eastAsia" w:ascii="仿宋" w:hAnsi="仿宋" w:eastAsia="仿宋" w:cs="仿宋"/>
          <w:color w:val="auto"/>
          <w:sz w:val="32"/>
          <w:szCs w:val="32"/>
        </w:rPr>
        <w:t>kg瓶</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净重</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p>
    <w:p w14:paraId="328BC9AB">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  技术质量要求</w:t>
      </w:r>
    </w:p>
    <w:p w14:paraId="6FCFEF4A">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3.1  物质基本理化性质</w:t>
      </w:r>
    </w:p>
    <w:p w14:paraId="685F3921">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中标人交付的丙烷其基本理化性质应与表 3-1 一致；如与表列数据存在合理偏差，应提供权威检测报告说明。</w:t>
      </w:r>
    </w:p>
    <w:p w14:paraId="58CC4DE3">
      <w:pPr>
        <w:spacing w:line="56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表 3-1  丙烷基本理化性质</w:t>
      </w:r>
    </w:p>
    <w:tbl>
      <w:tblPr>
        <w:tblStyle w:val="17"/>
        <w:tblW w:w="0" w:type="auto"/>
        <w:jc w:val="center"/>
        <w:tblLayout w:type="autofit"/>
        <w:tblCellMar>
          <w:top w:w="0" w:type="dxa"/>
          <w:left w:w="108" w:type="dxa"/>
          <w:bottom w:w="0" w:type="dxa"/>
          <w:right w:w="108" w:type="dxa"/>
        </w:tblCellMar>
      </w:tblPr>
      <w:tblGrid>
        <w:gridCol w:w="2641"/>
        <w:gridCol w:w="5881"/>
      </w:tblGrid>
      <w:tr w14:paraId="2C503C28">
        <w:tblPrEx>
          <w:tblCellMar>
            <w:top w:w="0" w:type="dxa"/>
            <w:left w:w="108" w:type="dxa"/>
            <w:bottom w:w="0" w:type="dxa"/>
            <w:right w:w="108" w:type="dxa"/>
          </w:tblCellMar>
        </w:tblPrEx>
        <w:trPr>
          <w:cantSplit/>
          <w:tblHeader/>
          <w:jc w:val="center"/>
        </w:trPr>
        <w:tc>
          <w:tcPr>
            <w:tcW w:w="2835"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67ABA139">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项目</w:t>
            </w:r>
          </w:p>
        </w:tc>
        <w:tc>
          <w:tcPr>
            <w:tcW w:w="623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03B70B4">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参数</w:t>
            </w:r>
          </w:p>
        </w:tc>
      </w:tr>
      <w:tr w14:paraId="05701362">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247C1931">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中文名 / 英文名</w:t>
            </w:r>
          </w:p>
        </w:tc>
        <w:tc>
          <w:tcPr>
            <w:tcW w:w="6236" w:type="dxa"/>
            <w:tcBorders>
              <w:top w:val="single" w:color="000000" w:sz="4" w:space="0"/>
              <w:left w:val="single" w:color="000000" w:sz="4" w:space="0"/>
              <w:bottom w:val="single" w:color="000000" w:sz="4" w:space="0"/>
              <w:right w:val="single" w:color="000000" w:sz="4" w:space="0"/>
            </w:tcBorders>
            <w:vAlign w:val="center"/>
          </w:tcPr>
          <w:p w14:paraId="6D388A9D">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丙烷 / Propane</w:t>
            </w:r>
          </w:p>
        </w:tc>
      </w:tr>
      <w:tr w14:paraId="6A0183C4">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7E21382E">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分子式 / 相对分子质量</w:t>
            </w:r>
          </w:p>
        </w:tc>
        <w:tc>
          <w:tcPr>
            <w:tcW w:w="6236" w:type="dxa"/>
            <w:tcBorders>
              <w:top w:val="single" w:color="000000" w:sz="4" w:space="0"/>
              <w:left w:val="single" w:color="000000" w:sz="4" w:space="0"/>
              <w:bottom w:val="single" w:color="000000" w:sz="4" w:space="0"/>
              <w:right w:val="single" w:color="000000" w:sz="4" w:space="0"/>
            </w:tcBorders>
            <w:vAlign w:val="center"/>
          </w:tcPr>
          <w:p w14:paraId="6003F0DD">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C3H8 / 44.10</w:t>
            </w:r>
          </w:p>
        </w:tc>
      </w:tr>
      <w:tr w14:paraId="2C602895">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760FD88A">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CAS 号</w:t>
            </w:r>
          </w:p>
        </w:tc>
        <w:tc>
          <w:tcPr>
            <w:tcW w:w="6236" w:type="dxa"/>
            <w:tcBorders>
              <w:top w:val="single" w:color="000000" w:sz="4" w:space="0"/>
              <w:left w:val="single" w:color="000000" w:sz="4" w:space="0"/>
              <w:bottom w:val="single" w:color="000000" w:sz="4" w:space="0"/>
              <w:right w:val="single" w:color="000000" w:sz="4" w:space="0"/>
            </w:tcBorders>
            <w:vAlign w:val="center"/>
          </w:tcPr>
          <w:p w14:paraId="09F207E9">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74-98-6</w:t>
            </w:r>
          </w:p>
        </w:tc>
      </w:tr>
      <w:tr w14:paraId="5867A19F">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434E995D">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危险性类别</w:t>
            </w:r>
          </w:p>
        </w:tc>
        <w:tc>
          <w:tcPr>
            <w:tcW w:w="6236" w:type="dxa"/>
            <w:tcBorders>
              <w:top w:val="single" w:color="000000" w:sz="4" w:space="0"/>
              <w:left w:val="single" w:color="000000" w:sz="4" w:space="0"/>
              <w:bottom w:val="single" w:color="000000" w:sz="4" w:space="0"/>
              <w:right w:val="single" w:color="000000" w:sz="4" w:space="0"/>
            </w:tcBorders>
            <w:vAlign w:val="center"/>
          </w:tcPr>
          <w:p w14:paraId="280EF808">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易燃气体 类别 1；加压气体（按 GB 30000.1—2024）</w:t>
            </w:r>
          </w:p>
        </w:tc>
      </w:tr>
      <w:tr w14:paraId="25F70E9C">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6EFFEC01">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外观与性状</w:t>
            </w:r>
          </w:p>
        </w:tc>
        <w:tc>
          <w:tcPr>
            <w:tcW w:w="6236" w:type="dxa"/>
            <w:tcBorders>
              <w:top w:val="single" w:color="000000" w:sz="4" w:space="0"/>
              <w:left w:val="single" w:color="000000" w:sz="4" w:space="0"/>
              <w:bottom w:val="single" w:color="000000" w:sz="4" w:space="0"/>
              <w:right w:val="single" w:color="000000" w:sz="4" w:space="0"/>
            </w:tcBorders>
            <w:vAlign w:val="center"/>
          </w:tcPr>
          <w:p w14:paraId="7EA4FFAC">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无色气体，纯品无臭</w:t>
            </w:r>
          </w:p>
        </w:tc>
      </w:tr>
      <w:tr w14:paraId="00E52B0D">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67423665">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闪点</w:t>
            </w:r>
          </w:p>
        </w:tc>
        <w:tc>
          <w:tcPr>
            <w:tcW w:w="6236" w:type="dxa"/>
            <w:tcBorders>
              <w:top w:val="single" w:color="000000" w:sz="4" w:space="0"/>
              <w:left w:val="single" w:color="000000" w:sz="4" w:space="0"/>
              <w:bottom w:val="single" w:color="000000" w:sz="4" w:space="0"/>
              <w:right w:val="single" w:color="000000" w:sz="4" w:space="0"/>
            </w:tcBorders>
            <w:vAlign w:val="center"/>
          </w:tcPr>
          <w:p w14:paraId="37177B73">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-104 ℃</w:t>
            </w:r>
          </w:p>
        </w:tc>
      </w:tr>
      <w:tr w14:paraId="091183E9">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6F375AE8">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引燃温度</w:t>
            </w:r>
          </w:p>
        </w:tc>
        <w:tc>
          <w:tcPr>
            <w:tcW w:w="6236" w:type="dxa"/>
            <w:tcBorders>
              <w:top w:val="single" w:color="000000" w:sz="4" w:space="0"/>
              <w:left w:val="single" w:color="000000" w:sz="4" w:space="0"/>
              <w:bottom w:val="single" w:color="000000" w:sz="4" w:space="0"/>
              <w:right w:val="single" w:color="000000" w:sz="4" w:space="0"/>
            </w:tcBorders>
            <w:vAlign w:val="center"/>
          </w:tcPr>
          <w:p w14:paraId="6F672EB7">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约 450 ℃</w:t>
            </w:r>
          </w:p>
        </w:tc>
      </w:tr>
      <w:tr w14:paraId="45F3F2B1">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3BE5445A">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爆炸极限（体积分数）</w:t>
            </w:r>
          </w:p>
        </w:tc>
        <w:tc>
          <w:tcPr>
            <w:tcW w:w="6236" w:type="dxa"/>
            <w:tcBorders>
              <w:top w:val="single" w:color="000000" w:sz="4" w:space="0"/>
              <w:left w:val="single" w:color="000000" w:sz="4" w:space="0"/>
              <w:bottom w:val="single" w:color="000000" w:sz="4" w:space="0"/>
              <w:right w:val="single" w:color="000000" w:sz="4" w:space="0"/>
            </w:tcBorders>
            <w:vAlign w:val="center"/>
          </w:tcPr>
          <w:p w14:paraId="1DA27C21">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 xml:space="preserve">2.1 %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 xml:space="preserve"> 9.5 %</w:t>
            </w:r>
          </w:p>
        </w:tc>
      </w:tr>
      <w:tr w14:paraId="5FAD32FF">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7453A70F">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相对密度（空气=1）</w:t>
            </w:r>
          </w:p>
        </w:tc>
        <w:tc>
          <w:tcPr>
            <w:tcW w:w="6236" w:type="dxa"/>
            <w:tcBorders>
              <w:top w:val="single" w:color="000000" w:sz="4" w:space="0"/>
              <w:left w:val="single" w:color="000000" w:sz="4" w:space="0"/>
              <w:bottom w:val="single" w:color="000000" w:sz="4" w:space="0"/>
              <w:right w:val="single" w:color="000000" w:sz="4" w:space="0"/>
            </w:tcBorders>
            <w:vAlign w:val="center"/>
          </w:tcPr>
          <w:p w14:paraId="68C23A24">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1.56，气体比空气重，可在低洼处远距离扩散并回燃</w:t>
            </w:r>
          </w:p>
        </w:tc>
      </w:tr>
      <w:tr w14:paraId="0B056BF8">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376C2CE5">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禁忌物</w:t>
            </w:r>
          </w:p>
        </w:tc>
        <w:tc>
          <w:tcPr>
            <w:tcW w:w="6236" w:type="dxa"/>
            <w:tcBorders>
              <w:top w:val="single" w:color="000000" w:sz="4" w:space="0"/>
              <w:left w:val="single" w:color="000000" w:sz="4" w:space="0"/>
              <w:bottom w:val="single" w:color="000000" w:sz="4" w:space="0"/>
              <w:right w:val="single" w:color="000000" w:sz="4" w:space="0"/>
            </w:tcBorders>
            <w:vAlign w:val="center"/>
          </w:tcPr>
          <w:p w14:paraId="2ACA6D5F">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强氧化剂、卤素</w:t>
            </w:r>
          </w:p>
        </w:tc>
      </w:tr>
      <w:tr w14:paraId="63DDCB2B">
        <w:tblPrEx>
          <w:tblCellMar>
            <w:top w:w="0" w:type="dxa"/>
            <w:left w:w="108" w:type="dxa"/>
            <w:bottom w:w="0" w:type="dxa"/>
            <w:right w:w="108" w:type="dxa"/>
          </w:tblCellMar>
        </w:tblPrEx>
        <w:trPr>
          <w:cantSplit/>
          <w:jc w:val="center"/>
        </w:trPr>
        <w:tc>
          <w:tcPr>
            <w:tcW w:w="2835" w:type="dxa"/>
            <w:tcBorders>
              <w:top w:val="single" w:color="000000" w:sz="4" w:space="0"/>
              <w:left w:val="single" w:color="000000" w:sz="4" w:space="0"/>
              <w:bottom w:val="single" w:color="000000" w:sz="4" w:space="0"/>
              <w:right w:val="single" w:color="000000" w:sz="4" w:space="0"/>
            </w:tcBorders>
            <w:vAlign w:val="center"/>
          </w:tcPr>
          <w:p w14:paraId="5F827B22">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适用灭火剂</w:t>
            </w:r>
          </w:p>
        </w:tc>
        <w:tc>
          <w:tcPr>
            <w:tcW w:w="6236" w:type="dxa"/>
            <w:tcBorders>
              <w:top w:val="single" w:color="000000" w:sz="4" w:space="0"/>
              <w:left w:val="single" w:color="000000" w:sz="4" w:space="0"/>
              <w:bottom w:val="single" w:color="000000" w:sz="4" w:space="0"/>
              <w:right w:val="single" w:color="000000" w:sz="4" w:space="0"/>
            </w:tcBorders>
            <w:vAlign w:val="center"/>
          </w:tcPr>
          <w:p w14:paraId="450DB4B1">
            <w:pPr>
              <w:spacing w:line="56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雾状水、泡沫、二氧化碳、干粉；应先切断气源</w:t>
            </w:r>
          </w:p>
        </w:tc>
      </w:tr>
    </w:tbl>
    <w:p w14:paraId="0538E31E">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3.2  质量指标</w:t>
      </w:r>
    </w:p>
    <w:p w14:paraId="5F76EB6B">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交付产品应符合 GB 11174—2011《液化石油气》中商品丙烷的技术要求，关键指标见表 3-2。</w:t>
      </w:r>
    </w:p>
    <w:p w14:paraId="30D706F0">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表 3-2  商品丙烷质量指标</w:t>
      </w:r>
    </w:p>
    <w:tbl>
      <w:tblPr>
        <w:tblStyle w:val="17"/>
        <w:tblW w:w="8687" w:type="dxa"/>
        <w:jc w:val="center"/>
        <w:tblLayout w:type="autofit"/>
        <w:tblCellMar>
          <w:top w:w="0" w:type="dxa"/>
          <w:left w:w="108" w:type="dxa"/>
          <w:bottom w:w="0" w:type="dxa"/>
          <w:right w:w="108" w:type="dxa"/>
        </w:tblCellMar>
      </w:tblPr>
      <w:tblGrid>
        <w:gridCol w:w="976"/>
        <w:gridCol w:w="2504"/>
        <w:gridCol w:w="3271"/>
        <w:gridCol w:w="1936"/>
      </w:tblGrid>
      <w:tr w14:paraId="1053C45F">
        <w:tblPrEx>
          <w:tblCellMar>
            <w:top w:w="0" w:type="dxa"/>
            <w:left w:w="108" w:type="dxa"/>
            <w:bottom w:w="0" w:type="dxa"/>
            <w:right w:w="108" w:type="dxa"/>
          </w:tblCellMar>
        </w:tblPrEx>
        <w:trPr>
          <w:cantSplit/>
          <w:tblHeader/>
          <w:jc w:val="center"/>
        </w:trPr>
        <w:tc>
          <w:tcPr>
            <w:tcW w:w="97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1366F58">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序号</w:t>
            </w:r>
          </w:p>
        </w:tc>
        <w:tc>
          <w:tcPr>
            <w:tcW w:w="25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49A7D84">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项目</w:t>
            </w:r>
          </w:p>
        </w:tc>
        <w:tc>
          <w:tcPr>
            <w:tcW w:w="3271"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30C9DAB">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技术要求</w:t>
            </w:r>
          </w:p>
        </w:tc>
        <w:tc>
          <w:tcPr>
            <w:tcW w:w="193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109C3548">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备注</w:t>
            </w:r>
          </w:p>
        </w:tc>
      </w:tr>
      <w:tr w14:paraId="729A59D0">
        <w:tblPrEx>
          <w:tblCellMar>
            <w:top w:w="0" w:type="dxa"/>
            <w:left w:w="108" w:type="dxa"/>
            <w:bottom w:w="0" w:type="dxa"/>
            <w:right w:w="108" w:type="dxa"/>
          </w:tblCellMar>
        </w:tblPrEx>
        <w:trPr>
          <w:cantSplit/>
          <w:jc w:val="center"/>
        </w:trPr>
        <w:tc>
          <w:tcPr>
            <w:tcW w:w="976" w:type="dxa"/>
            <w:tcBorders>
              <w:top w:val="single" w:color="000000" w:sz="4" w:space="0"/>
              <w:left w:val="single" w:color="000000" w:sz="4" w:space="0"/>
              <w:bottom w:val="single" w:color="000000" w:sz="4" w:space="0"/>
              <w:right w:val="single" w:color="000000" w:sz="4" w:space="0"/>
            </w:tcBorders>
            <w:vAlign w:val="center"/>
          </w:tcPr>
          <w:p w14:paraId="32CB0C19">
            <w:pPr>
              <w:spacing w:line="240" w:lineRule="auto"/>
              <w:ind w:left="0" w:leftChars="0" w:right="0" w:right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1</w:t>
            </w:r>
          </w:p>
        </w:tc>
        <w:tc>
          <w:tcPr>
            <w:tcW w:w="2504" w:type="dxa"/>
            <w:tcBorders>
              <w:top w:val="single" w:color="000000" w:sz="4" w:space="0"/>
              <w:left w:val="single" w:color="000000" w:sz="4" w:space="0"/>
              <w:bottom w:val="single" w:color="000000" w:sz="4" w:space="0"/>
              <w:right w:val="single" w:color="000000" w:sz="4" w:space="0"/>
            </w:tcBorders>
            <w:vAlign w:val="center"/>
          </w:tcPr>
          <w:p w14:paraId="3AB447DB">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 C3 烃类组分（丙烷及丙烯）</w:t>
            </w:r>
          </w:p>
        </w:tc>
        <w:tc>
          <w:tcPr>
            <w:tcW w:w="3271" w:type="dxa"/>
            <w:tcBorders>
              <w:top w:val="single" w:color="000000" w:sz="4" w:space="0"/>
              <w:left w:val="single" w:color="000000" w:sz="4" w:space="0"/>
              <w:bottom w:val="single" w:color="000000" w:sz="4" w:space="0"/>
              <w:right w:val="single" w:color="000000" w:sz="4" w:space="0"/>
            </w:tcBorders>
            <w:vAlign w:val="center"/>
          </w:tcPr>
          <w:p w14:paraId="262789FA">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体积分数 ≥9</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w:t>
            </w:r>
          </w:p>
        </w:tc>
        <w:tc>
          <w:tcPr>
            <w:tcW w:w="1936" w:type="dxa"/>
            <w:tcBorders>
              <w:top w:val="single" w:color="000000" w:sz="4" w:space="0"/>
              <w:left w:val="single" w:color="000000" w:sz="4" w:space="0"/>
              <w:bottom w:val="single" w:color="000000" w:sz="4" w:space="0"/>
              <w:right w:val="single" w:color="000000" w:sz="4" w:space="0"/>
            </w:tcBorders>
            <w:vAlign w:val="center"/>
          </w:tcPr>
          <w:p w14:paraId="614C9BA9">
            <w:pPr>
              <w:spacing w:line="240" w:lineRule="auto"/>
              <w:ind w:left="0" w:leftChars="0" w:right="0" w:rightChars="0"/>
              <w:jc w:val="both"/>
              <w:rPr>
                <w:rFonts w:hint="eastAsia" w:ascii="仿宋" w:hAnsi="仿宋" w:eastAsia="仿宋" w:cs="仿宋"/>
                <w:color w:val="auto"/>
                <w:sz w:val="32"/>
                <w:szCs w:val="32"/>
              </w:rPr>
            </w:pPr>
          </w:p>
        </w:tc>
      </w:tr>
      <w:tr w14:paraId="7B629DD0">
        <w:tblPrEx>
          <w:tblCellMar>
            <w:top w:w="0" w:type="dxa"/>
            <w:left w:w="108" w:type="dxa"/>
            <w:bottom w:w="0" w:type="dxa"/>
            <w:right w:w="108" w:type="dxa"/>
          </w:tblCellMar>
        </w:tblPrEx>
        <w:trPr>
          <w:cantSplit/>
          <w:jc w:val="center"/>
        </w:trPr>
        <w:tc>
          <w:tcPr>
            <w:tcW w:w="976" w:type="dxa"/>
            <w:tcBorders>
              <w:top w:val="single" w:color="000000" w:sz="4" w:space="0"/>
              <w:left w:val="single" w:color="000000" w:sz="4" w:space="0"/>
              <w:bottom w:val="single" w:color="000000" w:sz="4" w:space="0"/>
              <w:right w:val="single" w:color="000000" w:sz="4" w:space="0"/>
            </w:tcBorders>
            <w:vAlign w:val="center"/>
          </w:tcPr>
          <w:p w14:paraId="267550BB">
            <w:pPr>
              <w:spacing w:line="240" w:lineRule="auto"/>
              <w:ind w:left="0" w:leftChars="0" w:right="0" w:right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2</w:t>
            </w:r>
          </w:p>
        </w:tc>
        <w:tc>
          <w:tcPr>
            <w:tcW w:w="2504" w:type="dxa"/>
            <w:tcBorders>
              <w:top w:val="single" w:color="000000" w:sz="4" w:space="0"/>
              <w:left w:val="single" w:color="000000" w:sz="4" w:space="0"/>
              <w:bottom w:val="single" w:color="000000" w:sz="4" w:space="0"/>
              <w:right w:val="single" w:color="000000" w:sz="4" w:space="0"/>
            </w:tcBorders>
            <w:vAlign w:val="center"/>
          </w:tcPr>
          <w:p w14:paraId="5AE45B55">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C2 及更轻组分（乙烷、乙烯、甲烷等）</w:t>
            </w:r>
          </w:p>
        </w:tc>
        <w:tc>
          <w:tcPr>
            <w:tcW w:w="3271" w:type="dxa"/>
            <w:tcBorders>
              <w:top w:val="single" w:color="000000" w:sz="4" w:space="0"/>
              <w:left w:val="single" w:color="000000" w:sz="4" w:space="0"/>
              <w:bottom w:val="single" w:color="000000" w:sz="4" w:space="0"/>
              <w:right w:val="single" w:color="000000" w:sz="4" w:space="0"/>
            </w:tcBorders>
            <w:vAlign w:val="center"/>
          </w:tcPr>
          <w:p w14:paraId="6D8513A1">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符合 GB 11174—2011 商品丙烷规定</w:t>
            </w:r>
          </w:p>
        </w:tc>
        <w:tc>
          <w:tcPr>
            <w:tcW w:w="1936" w:type="dxa"/>
            <w:tcBorders>
              <w:top w:val="single" w:color="000000" w:sz="4" w:space="0"/>
              <w:left w:val="single" w:color="000000" w:sz="4" w:space="0"/>
              <w:bottom w:val="single" w:color="000000" w:sz="4" w:space="0"/>
              <w:right w:val="single" w:color="000000" w:sz="4" w:space="0"/>
            </w:tcBorders>
            <w:vAlign w:val="center"/>
          </w:tcPr>
          <w:p w14:paraId="23E68A58">
            <w:pPr>
              <w:spacing w:line="240" w:lineRule="auto"/>
              <w:ind w:left="0" w:leftChars="0" w:right="0" w:rightChars="0"/>
              <w:jc w:val="both"/>
              <w:rPr>
                <w:rFonts w:hint="eastAsia" w:ascii="仿宋" w:hAnsi="仿宋" w:eastAsia="仿宋" w:cs="仿宋"/>
                <w:color w:val="auto"/>
                <w:sz w:val="32"/>
                <w:szCs w:val="32"/>
              </w:rPr>
            </w:pPr>
          </w:p>
        </w:tc>
      </w:tr>
      <w:tr w14:paraId="70645146">
        <w:tblPrEx>
          <w:tblCellMar>
            <w:top w:w="0" w:type="dxa"/>
            <w:left w:w="108" w:type="dxa"/>
            <w:bottom w:w="0" w:type="dxa"/>
            <w:right w:w="108" w:type="dxa"/>
          </w:tblCellMar>
        </w:tblPrEx>
        <w:trPr>
          <w:cantSplit/>
          <w:jc w:val="center"/>
        </w:trPr>
        <w:tc>
          <w:tcPr>
            <w:tcW w:w="976" w:type="dxa"/>
            <w:tcBorders>
              <w:top w:val="single" w:color="000000" w:sz="4" w:space="0"/>
              <w:left w:val="single" w:color="000000" w:sz="4" w:space="0"/>
              <w:bottom w:val="single" w:color="000000" w:sz="4" w:space="0"/>
              <w:right w:val="single" w:color="000000" w:sz="4" w:space="0"/>
            </w:tcBorders>
            <w:vAlign w:val="center"/>
          </w:tcPr>
          <w:p w14:paraId="2DF8A93F">
            <w:pPr>
              <w:spacing w:line="240" w:lineRule="auto"/>
              <w:ind w:left="0" w:leftChars="0" w:right="0" w:right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3</w:t>
            </w:r>
          </w:p>
        </w:tc>
        <w:tc>
          <w:tcPr>
            <w:tcW w:w="2504" w:type="dxa"/>
            <w:tcBorders>
              <w:top w:val="single" w:color="000000" w:sz="4" w:space="0"/>
              <w:left w:val="single" w:color="000000" w:sz="4" w:space="0"/>
              <w:bottom w:val="single" w:color="000000" w:sz="4" w:space="0"/>
              <w:right w:val="single" w:color="000000" w:sz="4" w:space="0"/>
            </w:tcBorders>
            <w:vAlign w:val="center"/>
          </w:tcPr>
          <w:p w14:paraId="3EFD2C0F">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C4 及更重组分（丁烷及以上）</w:t>
            </w:r>
          </w:p>
        </w:tc>
        <w:tc>
          <w:tcPr>
            <w:tcW w:w="3271" w:type="dxa"/>
            <w:tcBorders>
              <w:top w:val="single" w:color="000000" w:sz="4" w:space="0"/>
              <w:left w:val="single" w:color="000000" w:sz="4" w:space="0"/>
              <w:bottom w:val="single" w:color="000000" w:sz="4" w:space="0"/>
              <w:right w:val="single" w:color="000000" w:sz="4" w:space="0"/>
            </w:tcBorders>
            <w:vAlign w:val="center"/>
          </w:tcPr>
          <w:p w14:paraId="1543E9A3">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符合 GB 11174—2011 商品丙烷规定</w:t>
            </w:r>
          </w:p>
        </w:tc>
        <w:tc>
          <w:tcPr>
            <w:tcW w:w="1936" w:type="dxa"/>
            <w:tcBorders>
              <w:top w:val="single" w:color="000000" w:sz="4" w:space="0"/>
              <w:left w:val="single" w:color="000000" w:sz="4" w:space="0"/>
              <w:bottom w:val="single" w:color="000000" w:sz="4" w:space="0"/>
              <w:right w:val="single" w:color="000000" w:sz="4" w:space="0"/>
            </w:tcBorders>
            <w:vAlign w:val="center"/>
          </w:tcPr>
          <w:p w14:paraId="33AA7BD9">
            <w:pPr>
              <w:spacing w:line="240" w:lineRule="auto"/>
              <w:ind w:left="0" w:leftChars="0" w:right="0" w:rightChars="0"/>
              <w:jc w:val="both"/>
              <w:rPr>
                <w:rFonts w:hint="eastAsia" w:ascii="仿宋" w:hAnsi="仿宋" w:eastAsia="仿宋" w:cs="仿宋"/>
                <w:color w:val="auto"/>
                <w:sz w:val="32"/>
                <w:szCs w:val="32"/>
              </w:rPr>
            </w:pPr>
          </w:p>
        </w:tc>
      </w:tr>
      <w:tr w14:paraId="2D9D36D7">
        <w:tblPrEx>
          <w:tblCellMar>
            <w:top w:w="0" w:type="dxa"/>
            <w:left w:w="108" w:type="dxa"/>
            <w:bottom w:w="0" w:type="dxa"/>
            <w:right w:w="108" w:type="dxa"/>
          </w:tblCellMar>
        </w:tblPrEx>
        <w:trPr>
          <w:cantSplit/>
          <w:jc w:val="center"/>
        </w:trPr>
        <w:tc>
          <w:tcPr>
            <w:tcW w:w="976" w:type="dxa"/>
            <w:tcBorders>
              <w:top w:val="single" w:color="000000" w:sz="4" w:space="0"/>
              <w:left w:val="single" w:color="000000" w:sz="4" w:space="0"/>
              <w:bottom w:val="single" w:color="000000" w:sz="4" w:space="0"/>
              <w:right w:val="single" w:color="000000" w:sz="4" w:space="0"/>
            </w:tcBorders>
            <w:vAlign w:val="center"/>
          </w:tcPr>
          <w:p w14:paraId="3B4C3610">
            <w:pPr>
              <w:spacing w:line="240" w:lineRule="auto"/>
              <w:ind w:left="0" w:leftChars="0" w:right="0" w:right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4</w:t>
            </w:r>
          </w:p>
        </w:tc>
        <w:tc>
          <w:tcPr>
            <w:tcW w:w="2504" w:type="dxa"/>
            <w:tcBorders>
              <w:top w:val="single" w:color="000000" w:sz="4" w:space="0"/>
              <w:left w:val="single" w:color="000000" w:sz="4" w:space="0"/>
              <w:bottom w:val="single" w:color="000000" w:sz="4" w:space="0"/>
              <w:right w:val="single" w:color="000000" w:sz="4" w:space="0"/>
            </w:tcBorders>
            <w:vAlign w:val="center"/>
          </w:tcPr>
          <w:p w14:paraId="360FFD46">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总硫含量</w:t>
            </w:r>
          </w:p>
        </w:tc>
        <w:tc>
          <w:tcPr>
            <w:tcW w:w="3271" w:type="dxa"/>
            <w:tcBorders>
              <w:top w:val="single" w:color="000000" w:sz="4" w:space="0"/>
              <w:left w:val="single" w:color="000000" w:sz="4" w:space="0"/>
              <w:bottom w:val="single" w:color="000000" w:sz="4" w:space="0"/>
              <w:right w:val="single" w:color="000000" w:sz="4" w:space="0"/>
            </w:tcBorders>
            <w:vAlign w:val="center"/>
          </w:tcPr>
          <w:p w14:paraId="6BC17DC1">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符合 GB 11174—2011 商品丙烷规定</w:t>
            </w:r>
          </w:p>
        </w:tc>
        <w:tc>
          <w:tcPr>
            <w:tcW w:w="1936" w:type="dxa"/>
            <w:tcBorders>
              <w:top w:val="single" w:color="000000" w:sz="4" w:space="0"/>
              <w:left w:val="single" w:color="000000" w:sz="4" w:space="0"/>
              <w:bottom w:val="single" w:color="000000" w:sz="4" w:space="0"/>
              <w:right w:val="single" w:color="000000" w:sz="4" w:space="0"/>
            </w:tcBorders>
            <w:vAlign w:val="center"/>
          </w:tcPr>
          <w:p w14:paraId="2600A2EF">
            <w:pPr>
              <w:spacing w:line="240" w:lineRule="auto"/>
              <w:ind w:left="0" w:leftChars="0" w:right="0" w:rightChars="0"/>
              <w:jc w:val="both"/>
              <w:rPr>
                <w:rFonts w:hint="eastAsia" w:ascii="仿宋" w:hAnsi="仿宋" w:eastAsia="仿宋" w:cs="仿宋"/>
                <w:color w:val="auto"/>
                <w:sz w:val="32"/>
                <w:szCs w:val="32"/>
              </w:rPr>
            </w:pPr>
          </w:p>
        </w:tc>
      </w:tr>
      <w:tr w14:paraId="4875EACB">
        <w:tblPrEx>
          <w:tblCellMar>
            <w:top w:w="0" w:type="dxa"/>
            <w:left w:w="108" w:type="dxa"/>
            <w:bottom w:w="0" w:type="dxa"/>
            <w:right w:w="108" w:type="dxa"/>
          </w:tblCellMar>
        </w:tblPrEx>
        <w:trPr>
          <w:cantSplit/>
          <w:jc w:val="center"/>
        </w:trPr>
        <w:tc>
          <w:tcPr>
            <w:tcW w:w="976" w:type="dxa"/>
            <w:tcBorders>
              <w:top w:val="single" w:color="000000" w:sz="4" w:space="0"/>
              <w:left w:val="single" w:color="000000" w:sz="4" w:space="0"/>
              <w:bottom w:val="single" w:color="000000" w:sz="4" w:space="0"/>
              <w:right w:val="single" w:color="000000" w:sz="4" w:space="0"/>
            </w:tcBorders>
            <w:vAlign w:val="center"/>
          </w:tcPr>
          <w:p w14:paraId="4E2CD587">
            <w:pPr>
              <w:spacing w:line="240" w:lineRule="auto"/>
              <w:ind w:left="0" w:leftChars="0" w:right="0" w:right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5</w:t>
            </w:r>
          </w:p>
        </w:tc>
        <w:tc>
          <w:tcPr>
            <w:tcW w:w="2504" w:type="dxa"/>
            <w:tcBorders>
              <w:top w:val="single" w:color="000000" w:sz="4" w:space="0"/>
              <w:left w:val="single" w:color="000000" w:sz="4" w:space="0"/>
              <w:bottom w:val="single" w:color="000000" w:sz="4" w:space="0"/>
              <w:right w:val="single" w:color="000000" w:sz="4" w:space="0"/>
            </w:tcBorders>
            <w:vAlign w:val="center"/>
          </w:tcPr>
          <w:p w14:paraId="603D52C0">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游离水及残留物</w:t>
            </w:r>
          </w:p>
        </w:tc>
        <w:tc>
          <w:tcPr>
            <w:tcW w:w="3271" w:type="dxa"/>
            <w:tcBorders>
              <w:top w:val="single" w:color="000000" w:sz="4" w:space="0"/>
              <w:left w:val="single" w:color="000000" w:sz="4" w:space="0"/>
              <w:bottom w:val="single" w:color="000000" w:sz="4" w:space="0"/>
              <w:right w:val="single" w:color="000000" w:sz="4" w:space="0"/>
            </w:tcBorders>
            <w:vAlign w:val="center"/>
          </w:tcPr>
          <w:p w14:paraId="5D22A26D">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无游离水；残留物符合 GB 11174—2011 商品丙烷规定</w:t>
            </w:r>
          </w:p>
        </w:tc>
        <w:tc>
          <w:tcPr>
            <w:tcW w:w="1936" w:type="dxa"/>
            <w:tcBorders>
              <w:top w:val="single" w:color="000000" w:sz="4" w:space="0"/>
              <w:left w:val="single" w:color="000000" w:sz="4" w:space="0"/>
              <w:bottom w:val="single" w:color="000000" w:sz="4" w:space="0"/>
              <w:right w:val="single" w:color="000000" w:sz="4" w:space="0"/>
            </w:tcBorders>
            <w:vAlign w:val="center"/>
          </w:tcPr>
          <w:p w14:paraId="20E80017">
            <w:pPr>
              <w:spacing w:line="240" w:lineRule="auto"/>
              <w:ind w:left="0" w:leftChars="0" w:right="0" w:rightChars="0"/>
              <w:jc w:val="both"/>
              <w:rPr>
                <w:rFonts w:hint="eastAsia" w:ascii="仿宋" w:hAnsi="仿宋" w:eastAsia="仿宋" w:cs="仿宋"/>
                <w:color w:val="auto"/>
                <w:sz w:val="32"/>
                <w:szCs w:val="32"/>
              </w:rPr>
            </w:pPr>
          </w:p>
        </w:tc>
      </w:tr>
      <w:tr w14:paraId="0E466F3D">
        <w:tblPrEx>
          <w:tblCellMar>
            <w:top w:w="0" w:type="dxa"/>
            <w:left w:w="108" w:type="dxa"/>
            <w:bottom w:w="0" w:type="dxa"/>
            <w:right w:w="108" w:type="dxa"/>
          </w:tblCellMar>
        </w:tblPrEx>
        <w:trPr>
          <w:cantSplit/>
          <w:jc w:val="center"/>
        </w:trPr>
        <w:tc>
          <w:tcPr>
            <w:tcW w:w="976" w:type="dxa"/>
            <w:tcBorders>
              <w:top w:val="single" w:color="000000" w:sz="4" w:space="0"/>
              <w:left w:val="single" w:color="000000" w:sz="4" w:space="0"/>
              <w:bottom w:val="single" w:color="000000" w:sz="4" w:space="0"/>
              <w:right w:val="single" w:color="000000" w:sz="4" w:space="0"/>
            </w:tcBorders>
            <w:vAlign w:val="center"/>
          </w:tcPr>
          <w:p w14:paraId="6F95FE32">
            <w:pPr>
              <w:spacing w:line="240" w:lineRule="auto"/>
              <w:ind w:left="0" w:leftChars="0" w:right="0" w:right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6</w:t>
            </w:r>
          </w:p>
        </w:tc>
        <w:tc>
          <w:tcPr>
            <w:tcW w:w="2504" w:type="dxa"/>
            <w:tcBorders>
              <w:top w:val="single" w:color="000000" w:sz="4" w:space="0"/>
              <w:left w:val="single" w:color="000000" w:sz="4" w:space="0"/>
              <w:bottom w:val="single" w:color="000000" w:sz="4" w:space="0"/>
              <w:right w:val="single" w:color="000000" w:sz="4" w:space="0"/>
            </w:tcBorders>
            <w:vAlign w:val="center"/>
          </w:tcPr>
          <w:p w14:paraId="36C27E5C">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铜片腐蚀</w:t>
            </w:r>
          </w:p>
        </w:tc>
        <w:tc>
          <w:tcPr>
            <w:tcW w:w="3271" w:type="dxa"/>
            <w:tcBorders>
              <w:top w:val="single" w:color="000000" w:sz="4" w:space="0"/>
              <w:left w:val="single" w:color="000000" w:sz="4" w:space="0"/>
              <w:bottom w:val="single" w:color="000000" w:sz="4" w:space="0"/>
              <w:right w:val="single" w:color="000000" w:sz="4" w:space="0"/>
            </w:tcBorders>
            <w:vAlign w:val="center"/>
          </w:tcPr>
          <w:p w14:paraId="38F9B453">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符合 GB 11174—2011 商品丙烷规定</w:t>
            </w:r>
          </w:p>
        </w:tc>
        <w:tc>
          <w:tcPr>
            <w:tcW w:w="1936" w:type="dxa"/>
            <w:tcBorders>
              <w:top w:val="single" w:color="000000" w:sz="4" w:space="0"/>
              <w:left w:val="single" w:color="000000" w:sz="4" w:space="0"/>
              <w:bottom w:val="single" w:color="000000" w:sz="4" w:space="0"/>
              <w:right w:val="single" w:color="000000" w:sz="4" w:space="0"/>
            </w:tcBorders>
            <w:vAlign w:val="center"/>
          </w:tcPr>
          <w:p w14:paraId="1507C556">
            <w:pPr>
              <w:spacing w:line="240" w:lineRule="auto"/>
              <w:ind w:left="0" w:leftChars="0" w:right="0" w:rightChars="0"/>
              <w:jc w:val="both"/>
              <w:rPr>
                <w:rFonts w:hint="eastAsia" w:ascii="仿宋" w:hAnsi="仿宋" w:eastAsia="仿宋" w:cs="仿宋"/>
                <w:color w:val="auto"/>
                <w:sz w:val="32"/>
                <w:szCs w:val="32"/>
              </w:rPr>
            </w:pPr>
          </w:p>
        </w:tc>
      </w:tr>
      <w:tr w14:paraId="7C899F71">
        <w:tblPrEx>
          <w:tblCellMar>
            <w:top w:w="0" w:type="dxa"/>
            <w:left w:w="108" w:type="dxa"/>
            <w:bottom w:w="0" w:type="dxa"/>
            <w:right w:w="108" w:type="dxa"/>
          </w:tblCellMar>
        </w:tblPrEx>
        <w:trPr>
          <w:cantSplit/>
          <w:jc w:val="center"/>
        </w:trPr>
        <w:tc>
          <w:tcPr>
            <w:tcW w:w="976" w:type="dxa"/>
            <w:tcBorders>
              <w:top w:val="single" w:color="000000" w:sz="4" w:space="0"/>
              <w:left w:val="single" w:color="000000" w:sz="4" w:space="0"/>
              <w:bottom w:val="single" w:color="000000" w:sz="4" w:space="0"/>
              <w:right w:val="single" w:color="000000" w:sz="4" w:space="0"/>
            </w:tcBorders>
            <w:vAlign w:val="center"/>
          </w:tcPr>
          <w:p w14:paraId="621E67CF">
            <w:pPr>
              <w:spacing w:line="240" w:lineRule="auto"/>
              <w:ind w:left="0" w:leftChars="0" w:right="0" w:right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7</w:t>
            </w:r>
          </w:p>
        </w:tc>
        <w:tc>
          <w:tcPr>
            <w:tcW w:w="2504" w:type="dxa"/>
            <w:tcBorders>
              <w:top w:val="single" w:color="000000" w:sz="4" w:space="0"/>
              <w:left w:val="single" w:color="000000" w:sz="4" w:space="0"/>
              <w:bottom w:val="single" w:color="000000" w:sz="4" w:space="0"/>
              <w:right w:val="single" w:color="000000" w:sz="4" w:space="0"/>
            </w:tcBorders>
            <w:vAlign w:val="center"/>
          </w:tcPr>
          <w:p w14:paraId="497BCD70">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 禁掺物质</w:t>
            </w:r>
          </w:p>
        </w:tc>
        <w:tc>
          <w:tcPr>
            <w:tcW w:w="3271" w:type="dxa"/>
            <w:tcBorders>
              <w:top w:val="single" w:color="000000" w:sz="4" w:space="0"/>
              <w:left w:val="single" w:color="000000" w:sz="4" w:space="0"/>
              <w:bottom w:val="single" w:color="000000" w:sz="4" w:space="0"/>
              <w:right w:val="single" w:color="000000" w:sz="4" w:space="0"/>
            </w:tcBorders>
            <w:vAlign w:val="center"/>
          </w:tcPr>
          <w:p w14:paraId="312CFA04">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不得掺混二甲醚及其他不明替代物，不得掺混易致残液的物质</w:t>
            </w:r>
          </w:p>
        </w:tc>
        <w:tc>
          <w:tcPr>
            <w:tcW w:w="1936" w:type="dxa"/>
            <w:tcBorders>
              <w:top w:val="single" w:color="000000" w:sz="4" w:space="0"/>
              <w:left w:val="single" w:color="000000" w:sz="4" w:space="0"/>
              <w:bottom w:val="single" w:color="000000" w:sz="4" w:space="0"/>
              <w:right w:val="single" w:color="000000" w:sz="4" w:space="0"/>
            </w:tcBorders>
            <w:vAlign w:val="center"/>
          </w:tcPr>
          <w:p w14:paraId="2E98B321">
            <w:pPr>
              <w:spacing w:line="240" w:lineRule="auto"/>
              <w:ind w:left="0" w:leftChars="0" w:right="0" w:rightChars="0"/>
              <w:jc w:val="both"/>
              <w:rPr>
                <w:rFonts w:hint="eastAsia" w:ascii="仿宋" w:hAnsi="仿宋" w:eastAsia="仿宋" w:cs="仿宋"/>
                <w:color w:val="auto"/>
                <w:sz w:val="32"/>
                <w:szCs w:val="32"/>
              </w:rPr>
            </w:pPr>
            <w:r>
              <w:rPr>
                <w:rFonts w:hint="eastAsia" w:ascii="仿宋" w:hAnsi="仿宋" w:eastAsia="仿宋" w:cs="仿宋"/>
                <w:color w:val="auto"/>
                <w:sz w:val="32"/>
                <w:szCs w:val="32"/>
              </w:rPr>
              <w:t>关键否决项</w:t>
            </w:r>
          </w:p>
        </w:tc>
      </w:tr>
    </w:tbl>
    <w:p w14:paraId="020B2D96">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注：以上指标以中标人出厂检验报告为准；采购人有权按 GB 11174—2011 抽样送检。</w:t>
      </w:r>
    </w:p>
    <w:p w14:paraId="06D1D505">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3.3  感官与加臭要求</w:t>
      </w:r>
    </w:p>
    <w:p w14:paraId="6DF70F4E">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（1）本品纯品无臭。为便于泄漏早期察觉，交付产品应具有可被嗅觉察觉的特征臭味；</w:t>
      </w:r>
      <w:r>
        <w:rPr>
          <w:rFonts w:hint="eastAsia" w:ascii="仿宋" w:hAnsi="仿宋" w:eastAsia="仿宋" w:cs="仿宋"/>
          <w:color w:val="auto"/>
          <w:sz w:val="32"/>
          <w:szCs w:val="32"/>
          <w:highlight w:val="none"/>
        </w:rPr>
        <w:t>中标人应在投标文件中明确加臭剂种类（如四氢噻吩、乙硫醇等）及投加浓度，并在供货合同中固化；投加浓度应保证产</w:t>
      </w:r>
      <w:r>
        <w:rPr>
          <w:rFonts w:hint="eastAsia" w:ascii="仿宋" w:hAnsi="仿宋" w:eastAsia="仿宋" w:cs="仿宋"/>
          <w:color w:val="auto"/>
          <w:sz w:val="32"/>
          <w:szCs w:val="32"/>
        </w:rPr>
        <w:t>品泄漏至工作场所可燃气爆炸下限的 1/5 浓度之前即可被人员嗅觉察觉。</w:t>
      </w:r>
    </w:p>
    <w:p w14:paraId="22AAFCEE">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（2）产品应清澈、无机械杂质、无游离水。</w:t>
      </w:r>
    </w:p>
    <w:p w14:paraId="56E7A34B">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3.4  执行标准</w:t>
      </w:r>
    </w:p>
    <w:p w14:paraId="635E1024">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（1）GB 11174—2011《液化石油气》（商品丙烷）；</w:t>
      </w:r>
    </w:p>
    <w:p w14:paraId="0FDB03F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（2）GB 30000.1—2024《化学品分类和标签规范 第1部分：通则》；</w:t>
      </w:r>
    </w:p>
    <w:p w14:paraId="65038CDA">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（3）GB/T 16483—2008《化学品安全技术说明书 内容和项目顺序》；</w:t>
      </w:r>
    </w:p>
    <w:p w14:paraId="6DBAB9F8">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（4）GB 15258—2009《化学品安全标签编写规定》；</w:t>
      </w:r>
    </w:p>
    <w:p w14:paraId="200CEA2D">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（5）TSG 23—2021《气瓶安全技术规程》（含第 1 号修改单）；</w:t>
      </w:r>
    </w:p>
    <w:p w14:paraId="10DE1F6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（6）GB/T 14193.1—2025《液化气体气瓶充装规定 第1部分：工业气瓶》；</w:t>
      </w:r>
    </w:p>
    <w:p w14:paraId="45EE112E">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（7）《危险化学品安全管理条例》（国务院令第 591 号）。</w:t>
      </w:r>
    </w:p>
    <w:p w14:paraId="3DE8A021">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4  包装与容器要求</w:t>
      </w:r>
    </w:p>
    <w:p w14:paraId="32CA36D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4.1  包装类别与标志</w:t>
      </w:r>
    </w:p>
    <w:p w14:paraId="19170712">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 本货物采用 Ⅱ 类包装，包装标志为“易燃气体”，UN 编号 1978。</w:t>
      </w:r>
    </w:p>
    <w:p w14:paraId="60C77007">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（2）每个气瓶必须粘贴符合 GB 15258—2009 的化学品安全标签，标签内容应与 SDS 一致，包含象形图、信号词、危险说明和防范说明，并粘贴牢固、不脱落。</w:t>
      </w:r>
    </w:p>
    <w:p w14:paraId="7DB56562">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4.2  气瓶要求</w:t>
      </w:r>
    </w:p>
    <w:p w14:paraId="4B1E5924">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（1）气瓶应为合格钢质无缝气瓶，其设计、制造及制造监检应符合 TSG 23—2021 及相应气瓶标准，具有产品合格证和制造许可证。</w:t>
      </w:r>
    </w:p>
    <w:p w14:paraId="3E169920">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 气瓶必须在定期检验有效期内使用；瓶体应有永久性检验合格标志、下次检验日期和电子识读标志。超过检验有效期、漆色脱落、瓶体腐蚀变形、瓶阀损坏，或防震圈、瓶帽缺失的气瓶，采购人有权拒收。</w:t>
      </w:r>
    </w:p>
    <w:p w14:paraId="1F67844D">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（3）气瓶漆色、字样和色环应符合气瓶标志规定，不得与其他介质气瓶混用。</w:t>
      </w:r>
    </w:p>
    <w:p w14:paraId="0608164E">
      <w:pPr>
        <w:spacing w:line="56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rPr>
        <w:t>（4）气瓶规格（充装量）：</w:t>
      </w:r>
      <w:r>
        <w:rPr>
          <w:rFonts w:hint="eastAsia" w:ascii="仿宋" w:hAnsi="仿宋" w:eastAsia="仿宋" w:cs="仿宋"/>
          <w:color w:val="auto"/>
          <w:sz w:val="32"/>
          <w:szCs w:val="32"/>
          <w:highlight w:val="none"/>
        </w:rPr>
        <w:t>单瓶充装净重</w:t>
      </w:r>
      <w:r>
        <w:rPr>
          <w:rFonts w:hint="eastAsia" w:ascii="仿宋" w:hAnsi="仿宋" w:eastAsia="仿宋" w:cs="仿宋"/>
          <w:color w:val="auto"/>
          <w:sz w:val="32"/>
          <w:szCs w:val="32"/>
          <w:highlight w:val="none"/>
          <w:lang w:val="en-US" w:eastAsia="zh-CN"/>
        </w:rPr>
        <w:t>48</w:t>
      </w:r>
      <w:r>
        <w:rPr>
          <w:rFonts w:hint="eastAsia" w:ascii="仿宋" w:hAnsi="仿宋" w:eastAsia="仿宋" w:cs="仿宋"/>
          <w:color w:val="auto"/>
          <w:sz w:val="32"/>
          <w:szCs w:val="32"/>
          <w:highlight w:val="none"/>
        </w:rPr>
        <w:t>kg，允差±0.5kg；超出允差范围的，按实际净重折算结算。</w:t>
      </w:r>
    </w:p>
    <w:p w14:paraId="789B8009">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4.3  充装要求</w:t>
      </w:r>
    </w:p>
    <w:p w14:paraId="10B01839">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（1）充装单位应取得气瓶充装许可证，充装作业应符合 GB/T 14193.1—2025 和 TSG 23—2021 的规定。</w:t>
      </w:r>
    </w:p>
    <w:p w14:paraId="4507E70F">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（2）严禁超装、错装；充装系数和充装量应符合相应规定。</w:t>
      </w:r>
    </w:p>
    <w:p w14:paraId="57338EC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（3）气瓶阀门及连接处应无泄漏；交付前应逐只做气密性检查。</w:t>
      </w:r>
    </w:p>
    <w:p w14:paraId="2B7B2116">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5  运输与交付要求</w:t>
      </w:r>
    </w:p>
    <w:p w14:paraId="0B20921F">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5.1  运输资质</w:t>
      </w:r>
    </w:p>
    <w:p w14:paraId="70D1E890">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 中标人应自行委托具有危险货物道路运输资质的企业承运；运输车辆应持有危险货物运输许可，驾驶员、押运员应持相应从业资格证。</w:t>
      </w:r>
    </w:p>
    <w:p w14:paraId="7665449A">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（2）车辆标志、灯具、应急器材（灭火器、堵漏工具、防护用品等）应符合危险货物运输规定；运输途中应避开人员密集区域和高温时段，不得与氧化剂、卤素同车混运。</w:t>
      </w:r>
    </w:p>
    <w:p w14:paraId="18259926">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5.2  交付方式与地点</w:t>
      </w:r>
    </w:p>
    <w:p w14:paraId="44398739">
      <w:pPr>
        <w:spacing w:line="560" w:lineRule="exact"/>
        <w:ind w:firstLine="640" w:firstLineChars="200"/>
        <w:jc w:val="both"/>
        <w:rPr>
          <w:rFonts w:hint="eastAsia" w:ascii="仿宋" w:hAnsi="仿宋" w:eastAsia="仿宋" w:cs="仿宋"/>
          <w:color w:val="auto"/>
          <w:sz w:val="32"/>
          <w:szCs w:val="32"/>
          <w:highlight w:val="yellow"/>
        </w:rPr>
      </w:pPr>
      <w:r>
        <w:rPr>
          <w:rFonts w:hint="eastAsia" w:ascii="仿宋" w:hAnsi="仿宋" w:eastAsia="仿宋" w:cs="仿宋"/>
          <w:color w:val="auto"/>
          <w:sz w:val="32"/>
          <w:szCs w:val="32"/>
        </w:rPr>
        <w:t>（1）交付地点：</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吴村种鸡场、大王山种鸡场</w:t>
      </w:r>
      <w:r>
        <w:rPr>
          <w:rFonts w:hint="eastAsia" w:ascii="仿宋" w:hAnsi="仿宋" w:eastAsia="仿宋" w:cs="仿宋"/>
          <w:color w:val="auto"/>
          <w:sz w:val="32"/>
          <w:szCs w:val="32"/>
          <w:highlight w:val="none"/>
        </w:rPr>
        <w:t>】。</w:t>
      </w:r>
    </w:p>
    <w:p w14:paraId="523B63BD">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（2）交付时间：按采购人订单要求送达；应急补货响应时间不超过【</w:t>
      </w:r>
      <w:r>
        <w:rPr>
          <w:rFonts w:hint="eastAsia" w:ascii="仿宋" w:hAnsi="仿宋" w:eastAsia="仿宋" w:cs="仿宋"/>
          <w:color w:val="auto"/>
          <w:sz w:val="32"/>
          <w:szCs w:val="32"/>
          <w:lang w:val="en-US" w:eastAsia="zh-CN"/>
        </w:rPr>
        <w:t>24</w:t>
      </w:r>
      <w:r>
        <w:rPr>
          <w:rFonts w:hint="eastAsia" w:ascii="仿宋" w:hAnsi="仿宋" w:eastAsia="仿宋" w:cs="仿宋"/>
          <w:color w:val="auto"/>
          <w:sz w:val="32"/>
          <w:szCs w:val="32"/>
        </w:rPr>
        <w:t>】小时。</w:t>
      </w:r>
    </w:p>
    <w:p w14:paraId="140FFFE9">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（3）卸车、卸气作业由中标人负责，采购人提供必要的场地与电源配合。</w:t>
      </w:r>
    </w:p>
    <w:p w14:paraId="3ADDA36A">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5.3  随货文件</w:t>
      </w:r>
    </w:p>
    <w:p w14:paraId="10103865">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每批次交付时，中标人应随车提供以下文件复印件并加盖公章：</w:t>
      </w:r>
    </w:p>
    <w:p w14:paraId="184BFD49">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（1）本批次产品质量证明书（出厂检验报告）；</w:t>
      </w:r>
    </w:p>
    <w:p w14:paraId="38328848">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 最新版本丙烷安全技术说明书（SDS，按 GB/T 16483—2008 编制，加盖供方公章）；</w:t>
      </w:r>
    </w:p>
    <w:p w14:paraId="12659271">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（3）气瓶定期检验报告或有效期证明；</w:t>
      </w:r>
    </w:p>
    <w:p w14:paraId="5B312102">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（4）危险货物运输单据、驾驶员及押运员资格证复印件；</w:t>
      </w:r>
    </w:p>
    <w:p w14:paraId="44BAF026">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（5）首次供货时提供营业执照、危险化学品经营许可证、气瓶充装许可证复印件；证照变更后应及时更新。</w:t>
      </w:r>
    </w:p>
    <w:p w14:paraId="341337D2">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6  安全与环保要求</w:t>
      </w:r>
    </w:p>
    <w:p w14:paraId="6B6D03FF">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6.1  供方安全资质</w:t>
      </w:r>
    </w:p>
    <w:p w14:paraId="0A88BFE0">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中标人应持有有效的营业执照、危险化学品经营许可证（按实际经营方式确定是否带储存设施）、气瓶充装许可证；委托运输的，承运方应具有危险货物道路运输许可证。</w:t>
      </w:r>
    </w:p>
    <w:p w14:paraId="3BBF013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6.2  SDS 与安全标签</w:t>
      </w:r>
    </w:p>
    <w:p w14:paraId="306CC92F">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（1）中标人应在首次供货时提供 SDS；当产品配方、法规标准或危险性信息发生变更时应及时更新，且更新周期不超过三年。</w:t>
      </w:r>
    </w:p>
    <w:p w14:paraId="496507D0">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（2）SDS 应按 GB/T 16483—2008 编制为 16 部分，至少包括：化学品及企业标识、危险性概述、成分/组成信息、急救措施、消防措施、泄漏应急处理、操作处置与储存、接触控制/个体防护、理化特性、稳定性和反应活性、毒理学资料、生态学资料（如可提供）、废弃处置、运输信息、法规信息及其他信息。</w:t>
      </w:r>
    </w:p>
    <w:p w14:paraId="07E455FB">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6.3  作业安全</w:t>
      </w:r>
    </w:p>
    <w:p w14:paraId="1B263900">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（1）卸气作业前应确认现场无可燃气体泄漏、通风良好、周边 10 m 内无火源；作业人员穿防静电工作服，使用防爆工具。</w:t>
      </w:r>
    </w:p>
    <w:p w14:paraId="2D7B2AF6">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（2）气瓶不得暴晒、抛掷、滚动；使用与存放环境温度不宜超过 30 ℃，应远离火种、热源，并与氧化剂、卤素分开存放，切忌混储。</w:t>
      </w:r>
    </w:p>
    <w:p w14:paraId="5BC32F24">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（3）中标人应在首次交付</w:t>
      </w:r>
      <w:r>
        <w:rPr>
          <w:rFonts w:hint="eastAsia" w:ascii="仿宋" w:hAnsi="仿宋" w:eastAsia="仿宋" w:cs="仿宋"/>
          <w:color w:val="auto"/>
          <w:sz w:val="32"/>
          <w:szCs w:val="32"/>
          <w:lang w:val="en-US" w:eastAsia="zh-CN"/>
        </w:rPr>
        <w:t>前</w:t>
      </w:r>
      <w:r>
        <w:rPr>
          <w:rFonts w:hint="eastAsia" w:ascii="仿宋" w:hAnsi="仿宋" w:eastAsia="仿宋" w:cs="仿宋"/>
          <w:color w:val="auto"/>
          <w:sz w:val="32"/>
          <w:szCs w:val="32"/>
        </w:rPr>
        <w:t>对采购人接卸、储存及使用人员提供一次免费安全交底。</w:t>
      </w:r>
    </w:p>
    <w:p w14:paraId="28CAECCE">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6.4  应急配合</w:t>
      </w:r>
    </w:p>
    <w:p w14:paraId="2F9073C8">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（1）发生泄漏、火灾或人员窒息、麻醉等意外时，中标人应提供 7×24 小时技术咨询电话，指导处置：迅速切断气源，将人员撤离至上风向；喷水冷却容器，可能时将容器移至空旷处；如不能切断气源，不得熄灭泄漏处火焰。</w:t>
      </w:r>
    </w:p>
    <w:p w14:paraId="21937A2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（2）适用灭火剂：雾状水、泡沫、二氧化碳、干粉。</w:t>
      </w:r>
    </w:p>
    <w:p w14:paraId="4C26B507">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（3）中标人应配合采购人开展事故调查与善后处理。</w:t>
      </w:r>
    </w:p>
    <w:p w14:paraId="1EA6A57E">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7  验收规则</w:t>
      </w:r>
    </w:p>
    <w:p w14:paraId="58CFD517">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7.1  资料验收</w:t>
      </w:r>
    </w:p>
    <w:p w14:paraId="5A8DBA23">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按本技术要求 5.3 条核对全部随货文件；缺项、过期或与实物批次不一致的，视为资料不合格，采购人有权整批拒收。</w:t>
      </w:r>
    </w:p>
    <w:p w14:paraId="4259233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7.2  数量验收</w:t>
      </w:r>
    </w:p>
    <w:p w14:paraId="14F1FE42">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（1）按实际</w:t>
      </w:r>
      <w:r>
        <w:rPr>
          <w:rFonts w:hint="eastAsia" w:ascii="仿宋" w:hAnsi="仿宋" w:eastAsia="仿宋" w:cs="仿宋"/>
          <w:color w:val="auto"/>
          <w:sz w:val="32"/>
          <w:szCs w:val="32"/>
          <w:lang w:val="en-US" w:eastAsia="zh-CN"/>
        </w:rPr>
        <w:t>到场数量</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瓶</w:t>
      </w:r>
      <w:r>
        <w:rPr>
          <w:rFonts w:hint="eastAsia" w:ascii="仿宋" w:hAnsi="仿宋" w:eastAsia="仿宋" w:cs="仿宋"/>
          <w:color w:val="auto"/>
          <w:sz w:val="32"/>
          <w:szCs w:val="32"/>
        </w:rPr>
        <w:t>）结算。</w:t>
      </w:r>
    </w:p>
    <w:p w14:paraId="290E2FBF">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（2）气瓶数量逐只清点；不符合本技术要求 4.2 条的气瓶不计入交付数量。</w:t>
      </w:r>
    </w:p>
    <w:p w14:paraId="47345FE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7.3  质量验收</w:t>
      </w:r>
    </w:p>
    <w:p w14:paraId="5987345D">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（1）外观：气瓶漆色、安全标签、防震圈、瓶帽齐全，阀门及连接处无泄漏（可用肥皂水或可燃气体检漏仪检测）。</w:t>
      </w:r>
    </w:p>
    <w:p w14:paraId="56512DE9">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（2）资料：产品质量证明书与实物批次、生产批号一致。</w:t>
      </w:r>
    </w:p>
    <w:p w14:paraId="207E4AB0">
      <w:pPr>
        <w:spacing w:line="56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rPr>
        <w:t>（3）抽检：采购人有权在到货后按 GB 11174—2011 抽样送有资质的检验机构检</w:t>
      </w:r>
      <w:r>
        <w:rPr>
          <w:rFonts w:hint="eastAsia" w:ascii="仿宋" w:hAnsi="仿宋" w:eastAsia="仿宋" w:cs="仿宋"/>
          <w:color w:val="auto"/>
          <w:sz w:val="32"/>
          <w:szCs w:val="32"/>
          <w:highlight w:val="none"/>
        </w:rPr>
        <w:t>测，每批次抽检不少于1瓶；抽检费用由采购人垫付，若不合格由中标人承担。双方对检测结果有异议的，可共同委托第三方检验机构复检，复检费用由责任方承担。</w:t>
      </w:r>
    </w:p>
    <w:p w14:paraId="533F5D1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7.4  不合格处理</w:t>
      </w:r>
    </w:p>
    <w:p w14:paraId="424191DC">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（1）外观、资料或数量不合格：当场拒收，中标人应在【</w:t>
      </w:r>
      <w:r>
        <w:rPr>
          <w:rFonts w:hint="eastAsia" w:ascii="仿宋" w:hAnsi="仿宋" w:eastAsia="仿宋" w:cs="仿宋"/>
          <w:color w:val="auto"/>
          <w:sz w:val="32"/>
          <w:szCs w:val="32"/>
          <w:lang w:val="en-US" w:eastAsia="zh-CN"/>
        </w:rPr>
        <w:t>48</w:t>
      </w:r>
      <w:r>
        <w:rPr>
          <w:rFonts w:hint="eastAsia" w:ascii="仿宋" w:hAnsi="仿宋" w:eastAsia="仿宋" w:cs="仿宋"/>
          <w:color w:val="auto"/>
          <w:sz w:val="32"/>
          <w:szCs w:val="32"/>
        </w:rPr>
        <w:t>】小时内免费换货并承担往返运输费用。</w:t>
      </w:r>
    </w:p>
    <w:p w14:paraId="6303125D">
      <w:pPr>
        <w:spacing w:line="56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（2）质量抽检不合格：整批退货，中标人承担由此造成的停产损失；同一项目一年内累计出现两次质量不合格，采购人有权单方终止合同并追究违约责任。</w:t>
      </w:r>
    </w:p>
    <w:p w14:paraId="75F67D23">
      <w:pPr>
        <w:spacing w:line="56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冬季保供（2026年12月1日至2027年2月28日）期间，中标人应保障采购人订单及时供应，接单后原则上【24】小时内送达；因中标人原因导致断供超过【48】小时、影响采购人正常生产的，每发生一次，中标人向采购人支付违约金【2000】元；因断供造成停产损失的，中标人还应赔偿实际损失。</w:t>
      </w:r>
    </w:p>
    <w:p w14:paraId="28B2C8DA">
      <w:pPr>
        <w:spacing w:line="560" w:lineRule="exact"/>
        <w:ind w:firstLine="643" w:firstLineChars="200"/>
        <w:jc w:val="both"/>
        <w:rPr>
          <w:rFonts w:hint="eastAsia" w:ascii="仿宋" w:hAnsi="仿宋" w:eastAsia="仿宋" w:cs="仿宋"/>
          <w:b/>
          <w:bCs/>
          <w:color w:val="auto"/>
          <w:sz w:val="32"/>
          <w:szCs w:val="32"/>
          <w:lang w:val="zh-CN"/>
        </w:rPr>
      </w:pPr>
      <w:r>
        <w:rPr>
          <w:rFonts w:hint="eastAsia" w:ascii="仿宋" w:hAnsi="仿宋" w:eastAsia="仿宋" w:cs="仿宋"/>
          <w:b/>
          <w:bCs/>
          <w:color w:val="auto"/>
          <w:sz w:val="32"/>
          <w:szCs w:val="32"/>
          <w:highlight w:val="none"/>
          <w:lang w:val="zh-CN"/>
        </w:rPr>
        <w:t>（六）投标</w:t>
      </w:r>
      <w:r>
        <w:rPr>
          <w:rFonts w:hint="eastAsia" w:ascii="仿宋" w:hAnsi="仿宋" w:eastAsia="仿宋" w:cs="仿宋"/>
          <w:b/>
          <w:bCs/>
          <w:color w:val="auto"/>
          <w:sz w:val="32"/>
          <w:szCs w:val="32"/>
          <w:lang w:val="zh-CN"/>
        </w:rPr>
        <w:t>保证金</w:t>
      </w:r>
      <w:bookmarkEnd w:id="8"/>
    </w:p>
    <w:p w14:paraId="460C260B">
      <w:pPr>
        <w:autoSpaceDE w:val="0"/>
        <w:autoSpaceDN w:val="0"/>
        <w:adjustRightInd w:val="0"/>
        <w:spacing w:line="560" w:lineRule="exact"/>
        <w:ind w:firstLine="2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lang w:val="zh-CN"/>
        </w:rPr>
        <w:t>1、投标人应提交投标保证金：</w:t>
      </w:r>
      <w:r>
        <w:rPr>
          <w:rFonts w:hint="eastAsia" w:ascii="仿宋" w:hAnsi="仿宋" w:eastAsia="仿宋" w:cs="仿宋"/>
          <w:color w:val="auto"/>
          <w:sz w:val="32"/>
          <w:szCs w:val="32"/>
          <w:lang w:val="en-US" w:eastAsia="zh-CN"/>
        </w:rPr>
        <w:t>衢州温氏畜牧有限公司30000元（人民币叁万元整）；江山温氏畜牧有限公司20000元（人民币贰万元整）</w:t>
      </w:r>
      <w:r>
        <w:rPr>
          <w:rFonts w:hint="eastAsia" w:ascii="仿宋" w:hAnsi="仿宋" w:eastAsia="仿宋" w:cs="仿宋"/>
          <w:color w:val="auto"/>
          <w:sz w:val="32"/>
          <w:szCs w:val="32"/>
          <w:highlight w:val="none"/>
          <w:lang w:val="zh-CN"/>
        </w:rPr>
        <w:t>。</w:t>
      </w:r>
    </w:p>
    <w:p w14:paraId="783178E4">
      <w:pPr>
        <w:autoSpaceDE w:val="0"/>
        <w:autoSpaceDN w:val="0"/>
        <w:adjustRightInd w:val="0"/>
        <w:spacing w:line="560" w:lineRule="exact"/>
        <w:ind w:firstLine="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2、投标保证金</w:t>
      </w:r>
      <w:r>
        <w:rPr>
          <w:rFonts w:hint="eastAsia" w:ascii="仿宋" w:hAnsi="仿宋" w:eastAsia="仿宋" w:cs="仿宋"/>
          <w:color w:val="auto"/>
          <w:sz w:val="32"/>
          <w:szCs w:val="32"/>
          <w:lang w:val="en-US" w:eastAsia="zh-CN"/>
        </w:rPr>
        <w:t>以</w:t>
      </w:r>
      <w:r>
        <w:rPr>
          <w:rFonts w:hint="eastAsia" w:ascii="仿宋" w:hAnsi="仿宋" w:eastAsia="仿宋" w:cs="仿宋"/>
          <w:b/>
          <w:bCs/>
          <w:color w:val="FF0000"/>
          <w:sz w:val="32"/>
          <w:szCs w:val="32"/>
          <w:lang w:val="en-US" w:eastAsia="zh-CN"/>
        </w:rPr>
        <w:t>银行转账</w:t>
      </w:r>
      <w:r>
        <w:rPr>
          <w:rFonts w:hint="eastAsia" w:ascii="仿宋" w:hAnsi="仿宋" w:eastAsia="仿宋" w:cs="仿宋"/>
          <w:color w:val="auto"/>
          <w:sz w:val="32"/>
          <w:szCs w:val="32"/>
          <w:lang w:val="en-US" w:eastAsia="zh-CN"/>
        </w:rPr>
        <w:t>方式转到我司指定账户</w:t>
      </w:r>
      <w:r>
        <w:rPr>
          <w:rFonts w:hint="eastAsia" w:ascii="仿宋" w:hAnsi="仿宋" w:eastAsia="仿宋" w:cs="仿宋"/>
          <w:bCs/>
          <w:color w:val="auto"/>
          <w:sz w:val="32"/>
          <w:szCs w:val="32"/>
          <w:lang w:val="zh-CN"/>
        </w:rPr>
        <w:t>。</w:t>
      </w:r>
    </w:p>
    <w:p w14:paraId="3AD513C5">
      <w:pPr>
        <w:autoSpaceDE w:val="0"/>
        <w:autoSpaceDN w:val="0"/>
        <w:adjustRightInd w:val="0"/>
        <w:spacing w:line="560" w:lineRule="exact"/>
        <w:ind w:firstLine="640" w:firstLineChars="200"/>
        <w:jc w:val="both"/>
        <w:rPr>
          <w:rFonts w:hint="default" w:ascii="仿宋" w:hAnsi="仿宋" w:eastAsia="仿宋" w:cs="仿宋"/>
          <w:color w:val="FF0000"/>
          <w:sz w:val="32"/>
          <w:szCs w:val="32"/>
          <w:highlight w:val="none"/>
          <w:lang w:val="en-US" w:eastAsia="zh-CN"/>
        </w:rPr>
      </w:pPr>
      <w:r>
        <w:rPr>
          <w:rFonts w:hint="eastAsia" w:ascii="仿宋" w:hAnsi="仿宋" w:eastAsia="仿宋" w:cs="仿宋"/>
          <w:color w:val="FF0000"/>
          <w:sz w:val="32"/>
          <w:szCs w:val="32"/>
          <w:highlight w:val="none"/>
          <w:lang w:val="zh-CN"/>
        </w:rPr>
        <w:t>户名：江山温氏畜牧有限公司</w:t>
      </w:r>
    </w:p>
    <w:p w14:paraId="4EC754B7">
      <w:pPr>
        <w:autoSpaceDE w:val="0"/>
        <w:autoSpaceDN w:val="0"/>
        <w:adjustRightInd w:val="0"/>
        <w:spacing w:line="560" w:lineRule="exact"/>
        <w:ind w:firstLine="624" w:firstLineChars="195"/>
        <w:jc w:val="both"/>
        <w:rPr>
          <w:rFonts w:hint="eastAsia" w:ascii="仿宋" w:hAnsi="仿宋" w:eastAsia="仿宋" w:cs="仿宋"/>
          <w:color w:val="FF0000"/>
          <w:sz w:val="32"/>
          <w:szCs w:val="32"/>
          <w:highlight w:val="none"/>
          <w:lang w:val="en-US" w:eastAsia="zh-CN"/>
        </w:rPr>
      </w:pPr>
      <w:r>
        <w:rPr>
          <w:rFonts w:hint="eastAsia" w:ascii="仿宋" w:hAnsi="仿宋" w:eastAsia="仿宋" w:cs="仿宋"/>
          <w:color w:val="FF0000"/>
          <w:sz w:val="32"/>
          <w:szCs w:val="32"/>
          <w:highlight w:val="none"/>
          <w:lang w:val="zh-CN"/>
        </w:rPr>
        <w:t>账号：</w:t>
      </w:r>
      <w:r>
        <w:rPr>
          <w:rFonts w:hint="eastAsia" w:ascii="仿宋" w:hAnsi="仿宋" w:eastAsia="仿宋" w:cs="仿宋"/>
          <w:color w:val="FF0000"/>
          <w:sz w:val="32"/>
          <w:szCs w:val="32"/>
          <w:highlight w:val="none"/>
          <w:lang w:val="en-US" w:eastAsia="zh-CN"/>
        </w:rPr>
        <w:t>44666101040018682</w:t>
      </w:r>
    </w:p>
    <w:p w14:paraId="1347F9C4">
      <w:pPr>
        <w:autoSpaceDE w:val="0"/>
        <w:autoSpaceDN w:val="0"/>
        <w:adjustRightInd w:val="0"/>
        <w:spacing w:line="560" w:lineRule="exact"/>
        <w:ind w:firstLine="624" w:firstLineChars="195"/>
        <w:jc w:val="both"/>
        <w:rPr>
          <w:rFonts w:hint="eastAsia" w:ascii="仿宋" w:hAnsi="仿宋" w:eastAsia="仿宋" w:cs="仿宋"/>
          <w:color w:val="FF0000"/>
          <w:sz w:val="32"/>
          <w:szCs w:val="32"/>
          <w:highlight w:val="none"/>
          <w:lang w:val="zh-CN"/>
        </w:rPr>
      </w:pPr>
      <w:r>
        <w:rPr>
          <w:rFonts w:hint="eastAsia" w:ascii="仿宋" w:hAnsi="仿宋" w:eastAsia="仿宋" w:cs="仿宋"/>
          <w:color w:val="FF0000"/>
          <w:sz w:val="32"/>
          <w:szCs w:val="32"/>
          <w:highlight w:val="none"/>
          <w:lang w:val="zh-CN"/>
        </w:rPr>
        <w:t>开户银行：中国农业银行新兴支行</w:t>
      </w:r>
    </w:p>
    <w:p w14:paraId="0054577F">
      <w:pPr>
        <w:autoSpaceDE w:val="0"/>
        <w:autoSpaceDN w:val="0"/>
        <w:adjustRightInd w:val="0"/>
        <w:spacing w:line="560" w:lineRule="exact"/>
        <w:ind w:firstLine="624" w:firstLineChars="195"/>
        <w:jc w:val="both"/>
        <w:rPr>
          <w:rFonts w:hint="default" w:ascii="仿宋" w:hAnsi="仿宋" w:eastAsia="仿宋" w:cs="仿宋"/>
          <w:color w:val="FF0000"/>
          <w:sz w:val="32"/>
          <w:szCs w:val="32"/>
          <w:highlight w:val="none"/>
          <w:lang w:val="en-US" w:eastAsia="zh-CN"/>
        </w:rPr>
      </w:pPr>
      <w:r>
        <w:rPr>
          <w:rFonts w:hint="eastAsia" w:ascii="仿宋" w:hAnsi="仿宋" w:eastAsia="仿宋" w:cs="仿宋"/>
          <w:color w:val="FF0000"/>
          <w:sz w:val="32"/>
          <w:szCs w:val="32"/>
          <w:highlight w:val="none"/>
          <w:lang w:val="en-US" w:eastAsia="zh-CN"/>
        </w:rPr>
        <w:t>户名：衢州温氏畜牧有限公司</w:t>
      </w:r>
    </w:p>
    <w:p w14:paraId="28569318">
      <w:pPr>
        <w:autoSpaceDE w:val="0"/>
        <w:autoSpaceDN w:val="0"/>
        <w:adjustRightInd w:val="0"/>
        <w:spacing w:line="560" w:lineRule="exact"/>
        <w:ind w:firstLine="624" w:firstLineChars="195"/>
        <w:jc w:val="both"/>
        <w:rPr>
          <w:rFonts w:hint="eastAsia" w:ascii="仿宋" w:hAnsi="仿宋" w:eastAsia="仿宋" w:cs="仿宋"/>
          <w:color w:val="FF0000"/>
          <w:sz w:val="32"/>
          <w:szCs w:val="32"/>
          <w:highlight w:val="none"/>
          <w:lang w:val="en-US" w:eastAsia="zh-CN"/>
        </w:rPr>
      </w:pPr>
      <w:r>
        <w:rPr>
          <w:rFonts w:hint="eastAsia" w:ascii="仿宋" w:hAnsi="仿宋" w:eastAsia="仿宋" w:cs="仿宋"/>
          <w:color w:val="FF0000"/>
          <w:sz w:val="32"/>
          <w:szCs w:val="32"/>
          <w:highlight w:val="none"/>
          <w:lang w:val="en-US" w:eastAsia="zh-CN"/>
        </w:rPr>
        <w:t>账号: 44666101040018690</w:t>
      </w:r>
    </w:p>
    <w:p w14:paraId="4236257B">
      <w:pPr>
        <w:autoSpaceDE w:val="0"/>
        <w:autoSpaceDN w:val="0"/>
        <w:adjustRightInd w:val="0"/>
        <w:spacing w:line="560" w:lineRule="exact"/>
        <w:ind w:firstLine="624" w:firstLineChars="195"/>
        <w:jc w:val="both"/>
        <w:rPr>
          <w:rFonts w:hint="eastAsia" w:ascii="仿宋" w:hAnsi="仿宋" w:eastAsia="仿宋" w:cs="仿宋"/>
          <w:color w:val="FF0000"/>
          <w:sz w:val="32"/>
          <w:szCs w:val="32"/>
          <w:highlight w:val="none"/>
          <w:lang w:val="en-US" w:eastAsia="zh-CN"/>
        </w:rPr>
      </w:pPr>
      <w:r>
        <w:rPr>
          <w:rFonts w:hint="eastAsia" w:ascii="仿宋" w:hAnsi="仿宋" w:eastAsia="仿宋" w:cs="仿宋"/>
          <w:color w:val="FF0000"/>
          <w:sz w:val="32"/>
          <w:szCs w:val="32"/>
          <w:highlight w:val="none"/>
          <w:lang w:val="en-US" w:eastAsia="zh-CN"/>
        </w:rPr>
        <w:t>开户行:中国农业银行股份有限公司新兴县支行</w:t>
      </w:r>
    </w:p>
    <w:p w14:paraId="083945C3">
      <w:pPr>
        <w:autoSpaceDE w:val="0"/>
        <w:autoSpaceDN w:val="0"/>
        <w:adjustRightInd w:val="0"/>
        <w:spacing w:line="560" w:lineRule="exact"/>
        <w:ind w:firstLine="624" w:firstLineChars="195"/>
        <w:jc w:val="both"/>
        <w:rPr>
          <w:rFonts w:hint="eastAsia" w:ascii="仿宋" w:hAnsi="仿宋" w:eastAsia="仿宋" w:cs="仿宋"/>
          <w:b/>
          <w:bCs/>
          <w:color w:val="0000FF"/>
          <w:sz w:val="32"/>
          <w:szCs w:val="32"/>
          <w:highlight w:val="none"/>
          <w:lang w:val="en-US" w:eastAsia="zh-CN"/>
        </w:rPr>
      </w:pPr>
      <w:r>
        <w:rPr>
          <w:rFonts w:hint="eastAsia" w:ascii="仿宋" w:hAnsi="仿宋" w:eastAsia="仿宋" w:cs="仿宋"/>
          <w:color w:val="FF0000"/>
          <w:sz w:val="32"/>
          <w:szCs w:val="32"/>
          <w:highlight w:val="none"/>
          <w:lang w:val="en-US" w:eastAsia="zh-CN"/>
        </w:rPr>
        <w:t>注：转账时备注“丙烷投标保证金”字样。</w:t>
      </w:r>
    </w:p>
    <w:p w14:paraId="46FF3B1A">
      <w:pPr>
        <w:autoSpaceDE w:val="0"/>
        <w:autoSpaceDN w:val="0"/>
        <w:adjustRightInd w:val="0"/>
        <w:spacing w:line="560" w:lineRule="exact"/>
        <w:ind w:firstLine="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3、对于未按</w:t>
      </w:r>
      <w:r>
        <w:rPr>
          <w:rFonts w:hint="eastAsia" w:ascii="仿宋" w:hAnsi="仿宋" w:eastAsia="仿宋" w:cs="仿宋"/>
          <w:color w:val="auto"/>
          <w:sz w:val="32"/>
          <w:szCs w:val="32"/>
          <w:lang w:val="en-US" w:eastAsia="zh-CN"/>
        </w:rPr>
        <w:t>招</w:t>
      </w:r>
      <w:r>
        <w:rPr>
          <w:rFonts w:hint="eastAsia" w:ascii="仿宋" w:hAnsi="仿宋" w:eastAsia="仿宋" w:cs="仿宋"/>
          <w:color w:val="auto"/>
          <w:sz w:val="32"/>
          <w:szCs w:val="32"/>
          <w:lang w:val="zh-CN"/>
        </w:rPr>
        <w:t>标文件规定提交投标保证金、投标保证金不符合要求的投标，将被视为非响应性投标而予以拒绝。</w:t>
      </w:r>
    </w:p>
    <w:p w14:paraId="7EA9AF8E">
      <w:pPr>
        <w:autoSpaceDE w:val="0"/>
        <w:autoSpaceDN w:val="0"/>
        <w:adjustRightInd w:val="0"/>
        <w:spacing w:line="560" w:lineRule="exact"/>
        <w:ind w:firstLine="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4、下列任何情况发生时，投标保证金将被没收：</w:t>
      </w:r>
    </w:p>
    <w:p w14:paraId="2F059902">
      <w:pPr>
        <w:autoSpaceDE w:val="0"/>
        <w:autoSpaceDN w:val="0"/>
        <w:adjustRightInd w:val="0"/>
        <w:spacing w:line="560" w:lineRule="exact"/>
        <w:ind w:firstLine="2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（1）投标人虚构或隐瞒事实，向招标方提供虚假文件；</w:t>
      </w:r>
    </w:p>
    <w:p w14:paraId="261135B1">
      <w:pPr>
        <w:autoSpaceDE w:val="0"/>
        <w:autoSpaceDN w:val="0"/>
        <w:adjustRightInd w:val="0"/>
        <w:spacing w:line="560" w:lineRule="exact"/>
        <w:ind w:firstLine="2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（2）投标人在规定期限内拒绝按照投标结果签订合同；</w:t>
      </w:r>
    </w:p>
    <w:p w14:paraId="64D92325">
      <w:pPr>
        <w:autoSpaceDE w:val="0"/>
        <w:autoSpaceDN w:val="0"/>
        <w:adjustRightInd w:val="0"/>
        <w:spacing w:line="560" w:lineRule="exact"/>
        <w:ind w:firstLine="2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（3）投标人串通投标或通过其它不正当手段破坏招标秩序。</w:t>
      </w:r>
    </w:p>
    <w:p w14:paraId="0EB6FE8C">
      <w:pPr>
        <w:autoSpaceDE w:val="0"/>
        <w:autoSpaceDN w:val="0"/>
        <w:adjustRightInd w:val="0"/>
        <w:spacing w:line="560" w:lineRule="exact"/>
        <w:ind w:firstLine="320" w:firstLineChars="1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5、招标结束后，落标者的投标保证金在中标通知书发出之日起【15】个工作日内以转账方式无息退还；中标方的投标保证金在中标方与招标方签订合同时转为履约保证金（合同保证金）。履约保证金在供货合同履行完毕且无违约情形后【15】个工作日内无息退还。以上保证金均不计利息，以转账方式退回。</w:t>
      </w:r>
    </w:p>
    <w:p w14:paraId="0B7F871A">
      <w:pPr>
        <w:autoSpaceDE w:val="0"/>
        <w:autoSpaceDN w:val="0"/>
        <w:adjustRightInd w:val="0"/>
        <w:spacing w:line="560" w:lineRule="exact"/>
        <w:ind w:firstLine="320" w:firstLineChars="1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6、存在下列情形之一的，其投标将被拒绝并没收投标保证金：（1）两家及以上投标人由同一实际控制人控制，或相互之间存在控股、管理关系而同时投标的；（2）投标人之间存在围标、串标行为的；（3）投标文件由同一单位或个人编制、同一电脑或同一网络IP上传的。</w:t>
      </w:r>
    </w:p>
    <w:p w14:paraId="5C432770">
      <w:pPr>
        <w:pStyle w:val="13"/>
        <w:jc w:val="both"/>
        <w:rPr>
          <w:rFonts w:hint="eastAsia" w:ascii="仿宋" w:hAnsi="仿宋" w:eastAsia="仿宋" w:cs="仿宋"/>
          <w:color w:val="auto"/>
          <w:sz w:val="32"/>
          <w:szCs w:val="32"/>
          <w:lang w:val="zh-CN"/>
        </w:rPr>
      </w:pPr>
      <w:bookmarkStart w:id="9" w:name="_Toc510542524"/>
      <w:bookmarkEnd w:id="9"/>
      <w:r>
        <w:rPr>
          <w:rFonts w:hint="eastAsia" w:ascii="仿宋" w:hAnsi="仿宋" w:eastAsia="仿宋" w:cs="仿宋"/>
          <w:color w:val="auto"/>
          <w:sz w:val="32"/>
          <w:szCs w:val="32"/>
          <w:lang w:val="zh-CN"/>
        </w:rPr>
        <w:t>（七）投标</w:t>
      </w:r>
    </w:p>
    <w:p w14:paraId="5032F8A5">
      <w:pPr>
        <w:autoSpaceDE w:val="0"/>
        <w:autoSpaceDN w:val="0"/>
        <w:adjustRightInd w:val="0"/>
        <w:spacing w:line="560" w:lineRule="exact"/>
        <w:ind w:firstLine="640" w:firstLineChars="200"/>
        <w:jc w:val="both"/>
        <w:rPr>
          <w:rFonts w:hint="eastAsia" w:ascii="仿宋" w:hAnsi="仿宋" w:eastAsia="仿宋" w:cs="仿宋"/>
          <w:b/>
          <w:color w:val="auto"/>
          <w:sz w:val="32"/>
          <w:szCs w:val="32"/>
        </w:rPr>
      </w:pPr>
      <w:r>
        <w:rPr>
          <w:rFonts w:hint="eastAsia" w:ascii="仿宋" w:hAnsi="仿宋" w:eastAsia="仿宋" w:cs="仿宋"/>
          <w:color w:val="auto"/>
          <w:sz w:val="32"/>
          <w:szCs w:val="32"/>
          <w:u w:val="single"/>
          <w:lang w:val="en-US" w:eastAsia="zh-CN"/>
        </w:rPr>
        <w:t>温氏线上招投标系统投标</w:t>
      </w:r>
      <w:r>
        <w:rPr>
          <w:rFonts w:hint="eastAsia" w:ascii="仿宋" w:hAnsi="仿宋" w:eastAsia="仿宋" w:cs="仿宋"/>
          <w:color w:val="auto"/>
          <w:sz w:val="32"/>
          <w:szCs w:val="32"/>
          <w:lang w:val="zh-CN"/>
        </w:rPr>
        <w:t>。</w:t>
      </w:r>
    </w:p>
    <w:p w14:paraId="5B076AEB">
      <w:pPr>
        <w:pStyle w:val="13"/>
        <w:jc w:val="both"/>
        <w:rPr>
          <w:rFonts w:hint="eastAsia" w:ascii="仿宋" w:hAnsi="仿宋" w:eastAsia="仿宋" w:cs="仿宋"/>
          <w:color w:val="auto"/>
          <w:sz w:val="32"/>
          <w:szCs w:val="32"/>
        </w:rPr>
      </w:pPr>
      <w:bookmarkStart w:id="10" w:name="_Toc510542525"/>
      <w:bookmarkEnd w:id="10"/>
      <w:r>
        <w:rPr>
          <w:rFonts w:hint="eastAsia" w:ascii="仿宋" w:hAnsi="仿宋" w:eastAsia="仿宋" w:cs="仿宋"/>
          <w:color w:val="auto"/>
          <w:sz w:val="32"/>
          <w:szCs w:val="32"/>
          <w:lang w:val="zh-CN"/>
        </w:rPr>
        <w:t>（八）开标时间、地点、人员</w:t>
      </w:r>
    </w:p>
    <w:p w14:paraId="2D1EA2B1">
      <w:pPr>
        <w:autoSpaceDE w:val="0"/>
        <w:autoSpaceDN w:val="0"/>
        <w:adjustRightInd w:val="0"/>
        <w:spacing w:line="560" w:lineRule="exact"/>
        <w:ind w:firstLine="2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报名截止时间：</w:t>
      </w:r>
      <w:r>
        <w:rPr>
          <w:rFonts w:hint="eastAsia" w:ascii="仿宋" w:hAnsi="仿宋" w:eastAsia="仿宋" w:cs="仿宋"/>
          <w:b/>
          <w:bCs/>
          <w:color w:val="auto"/>
          <w:sz w:val="32"/>
          <w:szCs w:val="32"/>
          <w:highlight w:val="none"/>
          <w:lang w:val="zh-CN"/>
        </w:rPr>
        <w:t>2026年</w:t>
      </w:r>
      <w:r>
        <w:rPr>
          <w:rFonts w:hint="eastAsia" w:ascii="仿宋" w:hAnsi="仿宋" w:eastAsia="仿宋" w:cs="仿宋"/>
          <w:b/>
          <w:bCs/>
          <w:color w:val="auto"/>
          <w:sz w:val="32"/>
          <w:szCs w:val="32"/>
          <w:highlight w:val="none"/>
          <w:lang w:val="en-US" w:eastAsia="zh-CN"/>
        </w:rPr>
        <w:t>11</w:t>
      </w:r>
      <w:r>
        <w:rPr>
          <w:rFonts w:hint="eastAsia" w:ascii="仿宋" w:hAnsi="仿宋" w:eastAsia="仿宋" w:cs="仿宋"/>
          <w:b/>
          <w:bCs/>
          <w:color w:val="auto"/>
          <w:sz w:val="32"/>
          <w:szCs w:val="32"/>
          <w:highlight w:val="none"/>
          <w:lang w:val="zh-CN"/>
        </w:rPr>
        <w:t>月</w:t>
      </w:r>
      <w:r>
        <w:rPr>
          <w:rFonts w:hint="eastAsia" w:ascii="仿宋" w:hAnsi="仿宋" w:eastAsia="仿宋" w:cs="仿宋"/>
          <w:b/>
          <w:bCs/>
          <w:color w:val="auto"/>
          <w:sz w:val="32"/>
          <w:szCs w:val="32"/>
          <w:highlight w:val="none"/>
          <w:lang w:val="en-US" w:eastAsia="zh-CN"/>
        </w:rPr>
        <w:t>15</w:t>
      </w:r>
      <w:r>
        <w:rPr>
          <w:rFonts w:hint="eastAsia" w:ascii="仿宋" w:hAnsi="仿宋" w:eastAsia="仿宋" w:cs="仿宋"/>
          <w:b/>
          <w:bCs/>
          <w:color w:val="auto"/>
          <w:sz w:val="32"/>
          <w:szCs w:val="32"/>
          <w:highlight w:val="none"/>
          <w:lang w:val="zh-CN"/>
        </w:rPr>
        <w:t>日</w:t>
      </w:r>
      <w:r>
        <w:rPr>
          <w:rFonts w:hint="eastAsia" w:ascii="仿宋" w:hAnsi="仿宋" w:eastAsia="仿宋" w:cs="仿宋"/>
          <w:b/>
          <w:bCs/>
          <w:color w:val="auto"/>
          <w:sz w:val="32"/>
          <w:szCs w:val="32"/>
          <w:highlight w:val="none"/>
          <w:lang w:val="en-US" w:eastAsia="zh-CN"/>
        </w:rPr>
        <w:t>17</w:t>
      </w:r>
      <w:r>
        <w:rPr>
          <w:rFonts w:hint="eastAsia" w:ascii="仿宋" w:hAnsi="仿宋" w:eastAsia="仿宋" w:cs="仿宋"/>
          <w:b/>
          <w:bCs/>
          <w:color w:val="auto"/>
          <w:sz w:val="32"/>
          <w:szCs w:val="32"/>
          <w:highlight w:val="none"/>
          <w:lang w:val="zh-CN"/>
        </w:rPr>
        <w:t>：</w:t>
      </w:r>
      <w:r>
        <w:rPr>
          <w:rFonts w:hint="eastAsia" w:ascii="仿宋" w:hAnsi="仿宋" w:eastAsia="仿宋" w:cs="仿宋"/>
          <w:b/>
          <w:bCs/>
          <w:color w:val="auto"/>
          <w:sz w:val="32"/>
          <w:szCs w:val="32"/>
          <w:highlight w:val="none"/>
          <w:lang w:val="en-US" w:eastAsia="zh-CN"/>
        </w:rPr>
        <w:t>00</w:t>
      </w:r>
    </w:p>
    <w:p w14:paraId="2AEA5481">
      <w:pPr>
        <w:autoSpaceDE w:val="0"/>
        <w:autoSpaceDN w:val="0"/>
        <w:adjustRightInd w:val="0"/>
        <w:spacing w:line="560" w:lineRule="exact"/>
        <w:ind w:firstLine="200"/>
        <w:jc w:val="left"/>
        <w:rPr>
          <w:rFonts w:hint="eastAsia" w:ascii="仿宋" w:hAnsi="仿宋" w:eastAsia="仿宋" w:cs="仿宋"/>
          <w:b/>
          <w:bCs/>
          <w:color w:val="auto"/>
          <w:sz w:val="32"/>
          <w:szCs w:val="32"/>
          <w:highlight w:val="none"/>
          <w:lang w:val="zh-CN"/>
        </w:rPr>
      </w:pPr>
      <w:r>
        <w:rPr>
          <w:rFonts w:hint="eastAsia" w:ascii="仿宋" w:hAnsi="仿宋" w:eastAsia="仿宋" w:cs="仿宋"/>
          <w:b/>
          <w:bCs/>
          <w:color w:val="auto"/>
          <w:sz w:val="32"/>
          <w:szCs w:val="32"/>
          <w:highlight w:val="none"/>
          <w:lang w:val="zh-CN"/>
        </w:rPr>
        <w:t>投标截止时间：2026年</w:t>
      </w:r>
      <w:r>
        <w:rPr>
          <w:rFonts w:hint="eastAsia" w:ascii="仿宋" w:hAnsi="仿宋" w:eastAsia="仿宋" w:cs="仿宋"/>
          <w:b/>
          <w:bCs/>
          <w:color w:val="auto"/>
          <w:sz w:val="32"/>
          <w:szCs w:val="32"/>
          <w:highlight w:val="none"/>
          <w:lang w:val="en-US" w:eastAsia="zh-CN"/>
        </w:rPr>
        <w:t>11</w:t>
      </w:r>
      <w:r>
        <w:rPr>
          <w:rFonts w:hint="eastAsia" w:ascii="仿宋" w:hAnsi="仿宋" w:eastAsia="仿宋" w:cs="仿宋"/>
          <w:b/>
          <w:bCs/>
          <w:color w:val="auto"/>
          <w:sz w:val="32"/>
          <w:szCs w:val="32"/>
          <w:highlight w:val="none"/>
          <w:lang w:val="zh-CN"/>
        </w:rPr>
        <w:t>月</w:t>
      </w:r>
      <w:r>
        <w:rPr>
          <w:rFonts w:hint="eastAsia" w:ascii="仿宋" w:hAnsi="仿宋" w:eastAsia="仿宋" w:cs="仿宋"/>
          <w:b/>
          <w:bCs/>
          <w:color w:val="auto"/>
          <w:sz w:val="32"/>
          <w:szCs w:val="32"/>
          <w:highlight w:val="none"/>
          <w:lang w:val="en-US" w:eastAsia="zh-CN"/>
        </w:rPr>
        <w:t>17</w:t>
      </w:r>
      <w:r>
        <w:rPr>
          <w:rFonts w:hint="eastAsia" w:ascii="仿宋" w:hAnsi="仿宋" w:eastAsia="仿宋" w:cs="仿宋"/>
          <w:b/>
          <w:bCs/>
          <w:color w:val="auto"/>
          <w:sz w:val="32"/>
          <w:szCs w:val="32"/>
          <w:highlight w:val="none"/>
          <w:lang w:val="zh-CN"/>
        </w:rPr>
        <w:t>日</w:t>
      </w:r>
      <w:r>
        <w:rPr>
          <w:rFonts w:hint="eastAsia" w:ascii="仿宋" w:hAnsi="仿宋" w:eastAsia="仿宋" w:cs="仿宋"/>
          <w:b/>
          <w:bCs/>
          <w:color w:val="auto"/>
          <w:sz w:val="32"/>
          <w:szCs w:val="32"/>
          <w:highlight w:val="none"/>
          <w:lang w:val="en-US" w:eastAsia="zh-CN"/>
        </w:rPr>
        <w:t>11</w:t>
      </w:r>
      <w:r>
        <w:rPr>
          <w:rFonts w:hint="eastAsia" w:ascii="仿宋" w:hAnsi="仿宋" w:eastAsia="仿宋" w:cs="仿宋"/>
          <w:b/>
          <w:bCs/>
          <w:color w:val="auto"/>
          <w:sz w:val="32"/>
          <w:szCs w:val="32"/>
          <w:highlight w:val="none"/>
          <w:lang w:val="zh-CN"/>
        </w:rPr>
        <w:t>：</w:t>
      </w:r>
      <w:r>
        <w:rPr>
          <w:rFonts w:hint="eastAsia" w:ascii="仿宋" w:hAnsi="仿宋" w:eastAsia="仿宋" w:cs="仿宋"/>
          <w:b/>
          <w:bCs/>
          <w:color w:val="auto"/>
          <w:sz w:val="32"/>
          <w:szCs w:val="32"/>
          <w:highlight w:val="none"/>
          <w:lang w:val="en-US" w:eastAsia="zh-CN"/>
        </w:rPr>
        <w:t>00</w:t>
      </w:r>
    </w:p>
    <w:p w14:paraId="2465CD58">
      <w:pPr>
        <w:autoSpaceDE w:val="0"/>
        <w:autoSpaceDN w:val="0"/>
        <w:adjustRightInd w:val="0"/>
        <w:spacing w:line="560" w:lineRule="exact"/>
        <w:ind w:firstLine="321" w:firstLineChars="1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zh-CN"/>
        </w:rPr>
        <w:t>开标时间：2026年</w:t>
      </w:r>
      <w:r>
        <w:rPr>
          <w:rFonts w:hint="eastAsia" w:ascii="仿宋" w:hAnsi="仿宋" w:eastAsia="仿宋" w:cs="仿宋"/>
          <w:b/>
          <w:bCs/>
          <w:color w:val="auto"/>
          <w:sz w:val="32"/>
          <w:szCs w:val="32"/>
          <w:highlight w:val="none"/>
          <w:lang w:val="en-US" w:eastAsia="zh-CN"/>
        </w:rPr>
        <w:t>11</w:t>
      </w:r>
      <w:r>
        <w:rPr>
          <w:rFonts w:hint="eastAsia" w:ascii="仿宋" w:hAnsi="仿宋" w:eastAsia="仿宋" w:cs="仿宋"/>
          <w:b/>
          <w:bCs/>
          <w:color w:val="auto"/>
          <w:sz w:val="32"/>
          <w:szCs w:val="32"/>
          <w:highlight w:val="none"/>
          <w:lang w:val="zh-CN"/>
        </w:rPr>
        <w:t>月</w:t>
      </w:r>
      <w:r>
        <w:rPr>
          <w:rFonts w:hint="eastAsia" w:ascii="仿宋" w:hAnsi="仿宋" w:eastAsia="仿宋" w:cs="仿宋"/>
          <w:b/>
          <w:bCs/>
          <w:color w:val="auto"/>
          <w:sz w:val="32"/>
          <w:szCs w:val="32"/>
          <w:highlight w:val="none"/>
          <w:lang w:val="en-US" w:eastAsia="zh-CN"/>
        </w:rPr>
        <w:t>17</w:t>
      </w:r>
      <w:r>
        <w:rPr>
          <w:rFonts w:hint="eastAsia" w:ascii="仿宋" w:hAnsi="仿宋" w:eastAsia="仿宋" w:cs="仿宋"/>
          <w:b/>
          <w:bCs/>
          <w:color w:val="auto"/>
          <w:sz w:val="32"/>
          <w:szCs w:val="32"/>
          <w:highlight w:val="none"/>
          <w:lang w:val="zh-CN"/>
        </w:rPr>
        <w:t>日</w:t>
      </w:r>
      <w:r>
        <w:rPr>
          <w:rFonts w:hint="eastAsia" w:ascii="仿宋" w:hAnsi="仿宋" w:eastAsia="仿宋" w:cs="仿宋"/>
          <w:b/>
          <w:bCs/>
          <w:color w:val="auto"/>
          <w:sz w:val="32"/>
          <w:szCs w:val="32"/>
          <w:highlight w:val="none"/>
          <w:lang w:val="en-US" w:eastAsia="zh-CN"/>
        </w:rPr>
        <w:t>09：00</w:t>
      </w:r>
    </w:p>
    <w:p w14:paraId="10A532D1">
      <w:pPr>
        <w:autoSpaceDE w:val="0"/>
        <w:autoSpaceDN w:val="0"/>
        <w:adjustRightInd w:val="0"/>
        <w:spacing w:line="560" w:lineRule="exact"/>
        <w:ind w:left="332" w:leftChars="152" w:hanging="13" w:hangingChars="4"/>
        <w:jc w:val="left"/>
        <w:rPr>
          <w:rFonts w:hint="default" w:ascii="仿宋" w:hAnsi="仿宋" w:eastAsia="仿宋" w:cs="仿宋"/>
          <w:color w:val="auto"/>
          <w:sz w:val="32"/>
          <w:szCs w:val="32"/>
          <w:lang w:val="en-US" w:eastAsia="zh-CN"/>
        </w:rPr>
      </w:pPr>
      <w:r>
        <w:rPr>
          <w:rFonts w:hint="eastAsia" w:ascii="仿宋" w:hAnsi="仿宋" w:eastAsia="仿宋" w:cs="仿宋"/>
          <w:b/>
          <w:bCs/>
          <w:color w:val="auto"/>
          <w:sz w:val="32"/>
          <w:szCs w:val="32"/>
          <w:lang w:val="zh-CN"/>
        </w:rPr>
        <w:t>开标地点：</w:t>
      </w:r>
      <w:r>
        <w:rPr>
          <w:rFonts w:hint="eastAsia" w:ascii="仿宋" w:hAnsi="仿宋" w:eastAsia="仿宋" w:cs="仿宋"/>
          <w:color w:val="auto"/>
          <w:sz w:val="32"/>
          <w:szCs w:val="32"/>
          <w:u w:val="none"/>
          <w:lang w:val="en-US" w:eastAsia="zh-CN"/>
        </w:rPr>
        <w:t>温氏线上招投标系统</w:t>
      </w:r>
    </w:p>
    <w:p w14:paraId="2581A874">
      <w:pPr>
        <w:pStyle w:val="13"/>
        <w:jc w:val="both"/>
        <w:rPr>
          <w:rFonts w:hint="eastAsia" w:ascii="仿宋" w:hAnsi="仿宋" w:eastAsia="仿宋" w:cs="仿宋"/>
          <w:color w:val="auto"/>
          <w:sz w:val="32"/>
          <w:szCs w:val="32"/>
          <w:lang w:val="zh-CN"/>
        </w:rPr>
      </w:pPr>
      <w:bookmarkStart w:id="11" w:name="_Toc510542526"/>
      <w:r>
        <w:rPr>
          <w:rFonts w:hint="eastAsia" w:ascii="仿宋" w:hAnsi="仿宋" w:eastAsia="仿宋" w:cs="仿宋"/>
          <w:color w:val="auto"/>
          <w:sz w:val="32"/>
          <w:szCs w:val="32"/>
          <w:lang w:val="zh-CN"/>
        </w:rPr>
        <w:t>（九）开标</w:t>
      </w:r>
      <w:bookmarkEnd w:id="11"/>
    </w:p>
    <w:p w14:paraId="13C333DF">
      <w:pPr>
        <w:autoSpaceDE w:val="0"/>
        <w:autoSpaceDN w:val="0"/>
        <w:adjustRightInd w:val="0"/>
        <w:spacing w:line="560" w:lineRule="exact"/>
        <w:ind w:firstLine="2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1、温氏线上招投标系统评标、开标；</w:t>
      </w:r>
    </w:p>
    <w:p w14:paraId="2777A625">
      <w:pPr>
        <w:autoSpaceDE w:val="0"/>
        <w:autoSpaceDN w:val="0"/>
        <w:adjustRightInd w:val="0"/>
        <w:spacing w:line="560" w:lineRule="exact"/>
        <w:ind w:firstLine="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2、</w:t>
      </w:r>
      <w:r>
        <w:rPr>
          <w:rFonts w:hint="eastAsia" w:ascii="仿宋" w:hAnsi="仿宋" w:eastAsia="仿宋" w:cs="仿宋"/>
          <w:color w:val="auto"/>
          <w:sz w:val="32"/>
          <w:szCs w:val="32"/>
          <w:lang w:val="en-US" w:eastAsia="zh-CN"/>
        </w:rPr>
        <w:t>招</w:t>
      </w:r>
      <w:r>
        <w:rPr>
          <w:rFonts w:hint="eastAsia" w:ascii="仿宋" w:hAnsi="仿宋" w:eastAsia="仿宋" w:cs="仿宋"/>
          <w:color w:val="auto"/>
          <w:sz w:val="32"/>
          <w:szCs w:val="32"/>
          <w:lang w:val="zh-CN"/>
        </w:rPr>
        <w:t>标方有权拒绝未提交相关文件的投标人的投标。</w:t>
      </w:r>
    </w:p>
    <w:p w14:paraId="6D5D2B21">
      <w:pPr>
        <w:pStyle w:val="13"/>
        <w:jc w:val="both"/>
        <w:rPr>
          <w:rFonts w:hint="eastAsia" w:ascii="仿宋" w:hAnsi="仿宋" w:eastAsia="仿宋" w:cs="仿宋"/>
          <w:color w:val="auto"/>
          <w:sz w:val="32"/>
          <w:szCs w:val="32"/>
          <w:lang w:val="zh-CN"/>
        </w:rPr>
      </w:pPr>
      <w:bookmarkStart w:id="12" w:name="_Toc510542527"/>
      <w:r>
        <w:rPr>
          <w:rFonts w:hint="eastAsia" w:ascii="仿宋" w:hAnsi="仿宋" w:eastAsia="仿宋" w:cs="仿宋"/>
          <w:color w:val="auto"/>
          <w:sz w:val="32"/>
          <w:szCs w:val="32"/>
          <w:lang w:val="zh-CN"/>
        </w:rPr>
        <w:t>（十）评标</w:t>
      </w:r>
      <w:bookmarkEnd w:id="12"/>
    </w:p>
    <w:p w14:paraId="4802ACBB">
      <w:pPr>
        <w:autoSpaceDE w:val="0"/>
        <w:autoSpaceDN w:val="0"/>
        <w:adjustRightInd w:val="0"/>
        <w:spacing w:line="560" w:lineRule="exact"/>
        <w:ind w:firstLine="640" w:firstLineChars="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1、我公司招标小组负责评标。招标小组将根据以下原则，确定中标候选人。</w:t>
      </w:r>
    </w:p>
    <w:p w14:paraId="5A7BD71D">
      <w:pPr>
        <w:numPr>
          <w:ilvl w:val="0"/>
          <w:numId w:val="0"/>
        </w:numPr>
        <w:spacing w:line="560" w:lineRule="exact"/>
        <w:ind w:firstLine="640" w:firstLineChars="200"/>
        <w:jc w:val="both"/>
        <w:rPr>
          <w:rFonts w:hint="eastAsia" w:ascii="仿宋" w:hAnsi="仿宋" w:eastAsia="仿宋" w:cs="仿宋"/>
          <w:b w:val="0"/>
          <w:bCs w:val="0"/>
          <w:color w:val="auto"/>
          <w:sz w:val="32"/>
          <w:szCs w:val="32"/>
          <w:highlight w:val="none"/>
          <w:lang w:val="zh-CN"/>
        </w:rPr>
      </w:pPr>
      <w:r>
        <w:rPr>
          <w:rFonts w:hint="eastAsia" w:ascii="仿宋" w:hAnsi="仿宋" w:eastAsia="仿宋" w:cs="仿宋"/>
          <w:color w:val="auto"/>
          <w:sz w:val="32"/>
          <w:szCs w:val="32"/>
          <w:highlight w:val="none"/>
        </w:rPr>
        <w:t>评标原则：最高上限价＋合理低价法。</w:t>
      </w:r>
      <w:r>
        <w:rPr>
          <w:rFonts w:hint="eastAsia" w:ascii="仿宋" w:hAnsi="仿宋" w:eastAsia="仿宋" w:cs="仿宋"/>
          <w:color w:val="auto"/>
          <w:sz w:val="32"/>
          <w:szCs w:val="32"/>
          <w:highlight w:val="none"/>
        </w:rPr>
        <w:br w:type="textWrapping"/>
      </w:r>
      <w:r>
        <w:rPr>
          <w:rFonts w:hint="eastAsia" w:ascii="仿宋" w:hAnsi="仿宋" w:eastAsia="仿宋" w:cs="仿宋"/>
          <w:color w:val="auto"/>
          <w:sz w:val="32"/>
          <w:szCs w:val="32"/>
          <w:highlight w:val="none"/>
        </w:rPr>
        <w:t>（1）最高上限价：本次招标设置最高上限价（含税，含货值、运输费、装卸费及合理利润）。</w:t>
      </w:r>
      <w:r>
        <w:rPr>
          <w:rFonts w:hint="eastAsia" w:ascii="仿宋" w:hAnsi="仿宋" w:eastAsia="仿宋" w:cs="仿宋"/>
          <w:color w:val="auto"/>
          <w:sz w:val="32"/>
          <w:szCs w:val="32"/>
          <w:highlight w:val="none"/>
        </w:rPr>
        <w:br w:type="textWrapping"/>
      </w:r>
      <w:r>
        <w:rPr>
          <w:rFonts w:hint="eastAsia" w:ascii="仿宋" w:hAnsi="仿宋" w:eastAsia="仿宋" w:cs="仿宋"/>
          <w:color w:val="auto"/>
          <w:sz w:val="32"/>
          <w:szCs w:val="32"/>
          <w:highlight w:val="none"/>
        </w:rPr>
        <w:t>（2）合理低价法：对满足资质、技术、商务要求的有效投标，按投标报价由低到高排序，报价最低者为第一中标候选人。</w:t>
      </w:r>
      <w:r>
        <w:rPr>
          <w:rFonts w:hint="eastAsia" w:ascii="仿宋" w:hAnsi="仿宋" w:eastAsia="仿宋" w:cs="仿宋"/>
          <w:color w:val="auto"/>
          <w:sz w:val="32"/>
          <w:szCs w:val="32"/>
          <w:highlight w:val="none"/>
        </w:rPr>
        <w:br w:type="textWrapping"/>
      </w:r>
      <w:r>
        <w:rPr>
          <w:rFonts w:hint="eastAsia" w:ascii="仿宋" w:hAnsi="仿宋" w:eastAsia="仿宋" w:cs="仿宋"/>
          <w:color w:val="auto"/>
          <w:sz w:val="32"/>
          <w:szCs w:val="32"/>
          <w:highlight w:val="none"/>
        </w:rPr>
        <w:t>（3）恶意低价防范：投标报价明显低于最高上限价，且明显低于成本或低于同期市场均价（如低于市场均价15%以上）的，评标小组有权要求投标人书面澄清；不能作出合理解释的，评标小组可作否决投标处理。</w:t>
      </w:r>
      <w:bookmarkStart w:id="13" w:name="_Toc510542528"/>
    </w:p>
    <w:p w14:paraId="42C53192">
      <w:pPr>
        <w:pStyle w:val="13"/>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（十一）签订合同</w:t>
      </w:r>
      <w:bookmarkEnd w:id="13"/>
    </w:p>
    <w:p w14:paraId="6AC3EC46">
      <w:pPr>
        <w:autoSpaceDE w:val="0"/>
        <w:autoSpaceDN w:val="0"/>
        <w:adjustRightInd w:val="0"/>
        <w:spacing w:line="560" w:lineRule="exact"/>
        <w:ind w:firstLine="2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lang w:val="zh-CN"/>
        </w:rPr>
        <w:t>1、中标方收到《中标通知书》后，在规定时间内与招标方签订供货合同，逾期不签订合同的视为弃标，没收投标保证金。投标人承诺并同意投标结果最终以供货合同为准，与供货合同条</w:t>
      </w:r>
      <w:r>
        <w:rPr>
          <w:rFonts w:hint="eastAsia" w:ascii="仿宋" w:hAnsi="仿宋" w:eastAsia="仿宋" w:cs="仿宋"/>
          <w:color w:val="auto"/>
          <w:sz w:val="32"/>
          <w:szCs w:val="32"/>
          <w:highlight w:val="none"/>
          <w:lang w:val="zh-CN"/>
        </w:rPr>
        <w:t>款不冲突的招标文件、投标文件及评标过程中形成的买卖双方共同承认的书面文件同时具有法律约束效力。</w:t>
      </w:r>
    </w:p>
    <w:p w14:paraId="43983179">
      <w:pPr>
        <w:autoSpaceDE w:val="0"/>
        <w:autoSpaceDN w:val="0"/>
        <w:adjustRightInd w:val="0"/>
        <w:spacing w:line="560" w:lineRule="exact"/>
        <w:ind w:firstLine="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highlight w:val="none"/>
          <w:lang w:val="zh-CN"/>
        </w:rPr>
        <w:t>2、供货合同终止或解除时，保</w:t>
      </w:r>
      <w:r>
        <w:rPr>
          <w:rFonts w:hint="eastAsia" w:ascii="仿宋" w:hAnsi="仿宋" w:eastAsia="仿宋" w:cs="仿宋"/>
          <w:color w:val="auto"/>
          <w:sz w:val="32"/>
          <w:szCs w:val="32"/>
          <w:lang w:val="zh-CN"/>
        </w:rPr>
        <w:t>证金按合同规定处理。</w:t>
      </w:r>
    </w:p>
    <w:p w14:paraId="3410C887">
      <w:pPr>
        <w:autoSpaceDE w:val="0"/>
        <w:autoSpaceDN w:val="0"/>
        <w:adjustRightInd w:val="0"/>
        <w:spacing w:line="560" w:lineRule="exact"/>
        <w:ind w:firstLine="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3.如中标方拒签合同，则按须知第六条第4款规定处理，招标方可从中标候选人中重新选定中标单位，并组织签订供货合同。</w:t>
      </w:r>
    </w:p>
    <w:p w14:paraId="564CCEB3">
      <w:pPr>
        <w:autoSpaceDE w:val="0"/>
        <w:autoSpaceDN w:val="0"/>
        <w:adjustRightInd w:val="0"/>
        <w:spacing w:line="560" w:lineRule="exact"/>
        <w:ind w:firstLine="200"/>
        <w:jc w:val="both"/>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4.如中标方签订合同后违约，</w:t>
      </w:r>
      <w:r>
        <w:rPr>
          <w:rFonts w:hint="eastAsia" w:ascii="仿宋" w:hAnsi="仿宋" w:eastAsia="仿宋" w:cs="仿宋"/>
          <w:color w:val="auto"/>
          <w:sz w:val="32"/>
          <w:szCs w:val="32"/>
          <w:lang w:val="en-US" w:eastAsia="zh-CN"/>
        </w:rPr>
        <w:t>招</w:t>
      </w:r>
      <w:r>
        <w:rPr>
          <w:rFonts w:hint="eastAsia" w:ascii="仿宋" w:hAnsi="仿宋" w:eastAsia="仿宋" w:cs="仿宋"/>
          <w:color w:val="auto"/>
          <w:sz w:val="32"/>
          <w:szCs w:val="32"/>
          <w:lang w:val="zh-CN"/>
        </w:rPr>
        <w:t>标方组织重新</w:t>
      </w:r>
      <w:r>
        <w:rPr>
          <w:rFonts w:hint="eastAsia" w:ascii="仿宋" w:hAnsi="仿宋" w:eastAsia="仿宋" w:cs="仿宋"/>
          <w:color w:val="auto"/>
          <w:sz w:val="32"/>
          <w:szCs w:val="32"/>
          <w:lang w:val="en-US" w:eastAsia="zh-CN"/>
        </w:rPr>
        <w:t>招</w:t>
      </w:r>
      <w:r>
        <w:rPr>
          <w:rFonts w:hint="eastAsia" w:ascii="仿宋" w:hAnsi="仿宋" w:eastAsia="仿宋" w:cs="仿宋"/>
          <w:color w:val="auto"/>
          <w:sz w:val="32"/>
          <w:szCs w:val="32"/>
          <w:lang w:val="zh-CN"/>
        </w:rPr>
        <w:t>标。</w:t>
      </w:r>
    </w:p>
    <w:p w14:paraId="493E8DE5">
      <w:pPr>
        <w:autoSpaceDE w:val="0"/>
        <w:autoSpaceDN w:val="0"/>
        <w:adjustRightInd w:val="0"/>
        <w:spacing w:line="560" w:lineRule="exact"/>
        <w:ind w:firstLine="2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5.供货合同主要条款（随招标文件公示，正式条款以中标后签订的供货合同为准）：</w:t>
      </w:r>
      <w:r>
        <w:rPr>
          <w:rFonts w:hint="eastAsia" w:ascii="仿宋" w:hAnsi="仿宋" w:eastAsia="仿宋" w:cs="仿宋"/>
          <w:color w:val="auto"/>
          <w:sz w:val="32"/>
          <w:szCs w:val="32"/>
          <w:highlight w:val="none"/>
          <w:lang w:val="zh-CN"/>
        </w:rPr>
        <w:br w:type="textWrapping"/>
      </w:r>
      <w:r>
        <w:rPr>
          <w:rFonts w:hint="eastAsia" w:ascii="仿宋" w:hAnsi="仿宋" w:eastAsia="仿宋" w:cs="仿宋"/>
          <w:color w:val="auto"/>
          <w:sz w:val="32"/>
          <w:szCs w:val="32"/>
          <w:highlight w:val="none"/>
          <w:lang w:val="zh-CN"/>
        </w:rPr>
        <w:t>（1）合同期限：2026年11月1日至2027年</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lang w:val="zh-CN"/>
        </w:rPr>
        <w:t>月</w:t>
      </w: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lang w:val="zh-CN"/>
        </w:rPr>
        <w:t>日。</w:t>
      </w:r>
      <w:r>
        <w:rPr>
          <w:rFonts w:hint="eastAsia" w:ascii="仿宋" w:hAnsi="仿宋" w:eastAsia="仿宋" w:cs="仿宋"/>
          <w:color w:val="auto"/>
          <w:sz w:val="32"/>
          <w:szCs w:val="32"/>
          <w:highlight w:val="yellow"/>
          <w:lang w:val="zh-CN"/>
        </w:rPr>
        <w:br w:type="textWrapping"/>
      </w:r>
      <w:r>
        <w:rPr>
          <w:rFonts w:hint="eastAsia" w:ascii="仿宋" w:hAnsi="仿宋" w:eastAsia="仿宋" w:cs="仿宋"/>
          <w:color w:val="auto"/>
          <w:sz w:val="32"/>
          <w:szCs w:val="32"/>
          <w:highlight w:val="none"/>
          <w:lang w:val="zh-CN"/>
        </w:rPr>
        <w:t>（2）价格与调价：合同期内原则上按中标单价执行；若市场丙烷价格波动幅度超过【±10%】（以招标文件发布时市场均价为基准，参考当期丙烷全国主流市场均价），任一方可提出调价申请，双方协商一致后签订补充协议；协商不一致的，按原价继续履行至合同期满。</w:t>
      </w:r>
      <w:r>
        <w:rPr>
          <w:rFonts w:hint="eastAsia" w:ascii="仿宋" w:hAnsi="仿宋" w:eastAsia="仿宋" w:cs="仿宋"/>
          <w:color w:val="auto"/>
          <w:sz w:val="32"/>
          <w:szCs w:val="32"/>
          <w:highlight w:val="none"/>
          <w:lang w:val="zh-CN"/>
        </w:rPr>
        <w:br w:type="textWrapping"/>
      </w:r>
      <w:r>
        <w:rPr>
          <w:rFonts w:hint="eastAsia" w:ascii="仿宋" w:hAnsi="仿宋" w:eastAsia="仿宋" w:cs="仿宋"/>
          <w:color w:val="auto"/>
          <w:sz w:val="32"/>
          <w:szCs w:val="32"/>
          <w:highlight w:val="none"/>
          <w:lang w:val="zh-CN"/>
        </w:rPr>
        <w:t>（3）结算与付款：按月结算，中标人于每月【5】日前提交上月供货对账单及增值税发票，采购人核对无误后于当月【25】日前支付上月货款，付款方式为银行转账。</w:t>
      </w:r>
      <w:r>
        <w:rPr>
          <w:rFonts w:hint="eastAsia" w:ascii="仿宋" w:hAnsi="仿宋" w:eastAsia="仿宋" w:cs="仿宋"/>
          <w:color w:val="auto"/>
          <w:sz w:val="32"/>
          <w:szCs w:val="32"/>
          <w:highlight w:val="none"/>
          <w:lang w:val="zh-CN"/>
        </w:rPr>
        <w:br w:type="textWrapping"/>
      </w:r>
      <w:r>
        <w:rPr>
          <w:rFonts w:hint="eastAsia" w:ascii="仿宋" w:hAnsi="仿宋" w:eastAsia="仿宋" w:cs="仿宋"/>
          <w:color w:val="auto"/>
          <w:sz w:val="32"/>
          <w:szCs w:val="32"/>
          <w:highlight w:val="none"/>
          <w:lang w:val="zh-CN"/>
        </w:rPr>
        <w:t>（</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lang w:val="zh-CN"/>
        </w:rPr>
        <w:t>）违约责任：中标人断供、迟延交付、质量不合格的，按本招标文件及供货合同约定承担违约金并赔偿由此造成的损失。</w:t>
      </w:r>
    </w:p>
    <w:p w14:paraId="571BA30A">
      <w:pPr>
        <w:pStyle w:val="13"/>
        <w:jc w:val="both"/>
        <w:rPr>
          <w:rFonts w:hint="eastAsia" w:ascii="仿宋" w:hAnsi="仿宋" w:eastAsia="仿宋" w:cs="仿宋"/>
          <w:color w:val="auto"/>
          <w:sz w:val="32"/>
          <w:szCs w:val="32"/>
          <w:highlight w:val="none"/>
          <w:lang w:val="zh-CN"/>
        </w:rPr>
      </w:pPr>
      <w:bookmarkStart w:id="14" w:name="_Toc510542529"/>
      <w:r>
        <w:rPr>
          <w:rFonts w:hint="eastAsia" w:ascii="仿宋" w:hAnsi="仿宋" w:eastAsia="仿宋" w:cs="仿宋"/>
          <w:color w:val="auto"/>
          <w:sz w:val="32"/>
          <w:szCs w:val="32"/>
          <w:highlight w:val="none"/>
          <w:lang w:val="zh-CN"/>
        </w:rPr>
        <w:t>（十二）附则</w:t>
      </w:r>
      <w:bookmarkEnd w:id="14"/>
    </w:p>
    <w:p w14:paraId="3F5388CD">
      <w:pPr>
        <w:autoSpaceDE w:val="0"/>
        <w:autoSpaceDN w:val="0"/>
        <w:adjustRightInd w:val="0"/>
        <w:spacing w:line="560" w:lineRule="exact"/>
        <w:ind w:firstLine="200"/>
        <w:jc w:val="both"/>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1.本次招标全部内容最终解释权和决策权归属常山温氏。</w:t>
      </w:r>
    </w:p>
    <w:p w14:paraId="4408BAA5">
      <w:pPr>
        <w:autoSpaceDE w:val="0"/>
        <w:autoSpaceDN w:val="0"/>
        <w:adjustRightInd w:val="0"/>
        <w:spacing w:line="560" w:lineRule="exact"/>
        <w:ind w:firstLine="200"/>
        <w:jc w:val="both"/>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zh-CN"/>
        </w:rPr>
        <w:t>2.投标人对招标文件有疑问的，可在投标截止时间前【3】个工作日以书面形式向招标方提出澄清要求，招标方统一以书面形式答复，澄清与答复作为招标文件的组成部分；投标人未在截止时间前提出澄清的，视为已理解并接受招标文件全部内容。</w:t>
      </w:r>
    </w:p>
    <w:p w14:paraId="746B88A7">
      <w:pPr>
        <w:autoSpaceDE w:val="0"/>
        <w:autoSpaceDN w:val="0"/>
        <w:adjustRightInd w:val="0"/>
        <w:spacing w:line="560" w:lineRule="exact"/>
        <w:ind w:firstLine="200"/>
        <w:jc w:val="both"/>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zh-CN"/>
        </w:rPr>
        <w:t>3.异议与投诉：投标人或其他利害关系人对本次招标活动有异议的，可在中标候选人公示期内以书面形式向招标方提出，招标方应在【3】个工作日内作出书面答复；对答复不满意的，可向</w:t>
      </w:r>
      <w:r>
        <w:rPr>
          <w:rFonts w:hint="eastAsia" w:ascii="仿宋" w:hAnsi="仿宋" w:eastAsia="仿宋" w:cs="仿宋"/>
          <w:color w:val="auto"/>
          <w:sz w:val="32"/>
          <w:szCs w:val="32"/>
          <w:highlight w:val="none"/>
          <w:lang w:val="en-US" w:eastAsia="zh-CN"/>
        </w:rPr>
        <w:t>江山</w:t>
      </w:r>
      <w:r>
        <w:rPr>
          <w:rFonts w:hint="eastAsia" w:ascii="仿宋" w:hAnsi="仿宋" w:eastAsia="仿宋" w:cs="仿宋"/>
          <w:color w:val="auto"/>
          <w:sz w:val="32"/>
          <w:szCs w:val="32"/>
          <w:highlight w:val="none"/>
          <w:lang w:val="zh-CN"/>
        </w:rPr>
        <w:t>温氏招标监督部门投诉。</w:t>
      </w:r>
    </w:p>
    <w:p w14:paraId="12D28339">
      <w:pPr>
        <w:autoSpaceDE w:val="0"/>
        <w:autoSpaceDN w:val="0"/>
        <w:adjustRightInd w:val="0"/>
        <w:spacing w:line="560" w:lineRule="exact"/>
        <w:ind w:firstLine="200"/>
        <w:jc w:val="both"/>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zh-CN"/>
        </w:rPr>
        <w:t>4.评标纪律：评标小组成员由招标方相关部门人员组成，与投标人存在利害关系的人员应主动回避；评标过程在温氏线上招投标系统全程留痕备查。</w:t>
      </w:r>
    </w:p>
    <w:p w14:paraId="14998876">
      <w:pPr>
        <w:numPr>
          <w:ilvl w:val="0"/>
          <w:numId w:val="0"/>
        </w:numPr>
        <w:spacing w:line="370" w:lineRule="exact"/>
        <w:jc w:val="both"/>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投标承诺书</w:t>
      </w:r>
      <w:r>
        <w:rPr>
          <w:rFonts w:hint="eastAsia" w:ascii="仿宋" w:hAnsi="仿宋" w:eastAsia="仿宋" w:cs="仿宋"/>
          <w:b/>
          <w:bCs/>
          <w:color w:val="auto"/>
          <w:sz w:val="32"/>
          <w:szCs w:val="32"/>
          <w:highlight w:val="none"/>
          <w:lang w:val="en-US" w:eastAsia="zh-CN"/>
        </w:rPr>
        <w:t>101</w:t>
      </w:r>
    </w:p>
    <w:p w14:paraId="6D1D02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32"/>
          <w:szCs w:val="32"/>
          <w:highlight w:val="none"/>
          <w:lang w:val="en-US" w:eastAsia="zh-CN"/>
        </w:rPr>
      </w:pPr>
      <w:r>
        <w:rPr>
          <w:rFonts w:hint="eastAsia" w:ascii="仿宋" w:hAnsi="仿宋" w:eastAsia="仿宋" w:cs="仿宋"/>
          <w:b/>
          <w:bCs/>
          <w:color w:val="auto"/>
          <w:sz w:val="32"/>
          <w:szCs w:val="32"/>
          <w:highlight w:val="none"/>
        </w:rPr>
        <w:t>项目名称：</w:t>
      </w:r>
      <w:r>
        <w:rPr>
          <w:rFonts w:hint="eastAsia" w:ascii="仿宋" w:hAnsi="仿宋" w:eastAsia="仿宋" w:cs="仿宋"/>
          <w:b/>
          <w:bCs/>
          <w:color w:val="auto"/>
          <w:sz w:val="32"/>
          <w:szCs w:val="32"/>
          <w:highlight w:val="none"/>
          <w:lang w:eastAsia="zh-CN"/>
        </w:rPr>
        <w:t>江山温氏畜牧有限公司</w:t>
      </w:r>
      <w:r>
        <w:rPr>
          <w:rFonts w:hint="eastAsia" w:ascii="仿宋" w:hAnsi="仿宋" w:eastAsia="仿宋" w:cs="仿宋"/>
          <w:b/>
          <w:bCs/>
          <w:color w:val="auto"/>
          <w:sz w:val="32"/>
          <w:szCs w:val="32"/>
          <w:highlight w:val="none"/>
        </w:rPr>
        <w:t>工业丙烷采购及配送业务</w:t>
      </w:r>
    </w:p>
    <w:p w14:paraId="296876F0">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本单位已详细阅读上述招标文件，现自愿就参加上述项目投标有关事项向招标单位郑重承诺如下：</w:t>
      </w:r>
    </w:p>
    <w:p w14:paraId="7D2AFD96">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w:t>
      </w:r>
      <w:r>
        <w:rPr>
          <w:rFonts w:hint="eastAsia" w:ascii="仿宋" w:hAnsi="仿宋" w:eastAsia="仿宋" w:cs="仿宋"/>
          <w:color w:val="auto"/>
          <w:sz w:val="32"/>
          <w:szCs w:val="32"/>
          <w:highlight w:val="none"/>
        </w:rPr>
        <w:t>遵守中华人民共和国浙江省衢州市有关</w:t>
      </w:r>
      <w:r>
        <w:rPr>
          <w:rFonts w:hint="eastAsia" w:ascii="仿宋" w:hAnsi="仿宋" w:eastAsia="仿宋" w:cs="仿宋"/>
          <w:color w:val="auto"/>
          <w:sz w:val="32"/>
          <w:szCs w:val="32"/>
          <w:highlight w:val="none"/>
          <w:lang w:val="en-US" w:eastAsia="zh-CN"/>
        </w:rPr>
        <w:t>招</w:t>
      </w:r>
      <w:r>
        <w:rPr>
          <w:rFonts w:hint="eastAsia" w:ascii="仿宋" w:hAnsi="仿宋" w:eastAsia="仿宋" w:cs="仿宋"/>
          <w:color w:val="auto"/>
          <w:sz w:val="32"/>
          <w:szCs w:val="32"/>
          <w:highlight w:val="none"/>
          <w:lang w:eastAsia="zh-CN"/>
        </w:rPr>
        <w:t>标</w:t>
      </w:r>
      <w:r>
        <w:rPr>
          <w:rFonts w:hint="eastAsia" w:ascii="仿宋" w:hAnsi="仿宋" w:eastAsia="仿宋" w:cs="仿宋"/>
          <w:color w:val="auto"/>
          <w:sz w:val="32"/>
          <w:szCs w:val="32"/>
          <w:highlight w:val="none"/>
        </w:rPr>
        <w:t>投标的法律法规规定及温氏集团</w:t>
      </w:r>
      <w:r>
        <w:rPr>
          <w:rFonts w:hint="eastAsia" w:ascii="仿宋" w:hAnsi="仿宋" w:eastAsia="仿宋" w:cs="仿宋"/>
          <w:color w:val="auto"/>
          <w:sz w:val="32"/>
          <w:szCs w:val="32"/>
          <w:highlight w:val="none"/>
          <w:lang w:val="en-US" w:eastAsia="zh-CN"/>
        </w:rPr>
        <w:t>招</w:t>
      </w:r>
      <w:r>
        <w:rPr>
          <w:rFonts w:hint="eastAsia" w:ascii="仿宋" w:hAnsi="仿宋" w:eastAsia="仿宋" w:cs="仿宋"/>
          <w:color w:val="auto"/>
          <w:sz w:val="32"/>
          <w:szCs w:val="32"/>
          <w:highlight w:val="none"/>
          <w:lang w:eastAsia="zh-CN"/>
        </w:rPr>
        <w:t>标</w:t>
      </w:r>
      <w:r>
        <w:rPr>
          <w:rFonts w:hint="eastAsia" w:ascii="仿宋" w:hAnsi="仿宋" w:eastAsia="仿宋" w:cs="仿宋"/>
          <w:color w:val="auto"/>
          <w:sz w:val="32"/>
          <w:szCs w:val="32"/>
          <w:highlight w:val="none"/>
        </w:rPr>
        <w:t>相关规定，自觉维护正常秩序。若有违反，同意被废除投标资格并接受处罚。</w:t>
      </w:r>
    </w:p>
    <w:p w14:paraId="35D52676">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2.</w:t>
      </w:r>
      <w:r>
        <w:rPr>
          <w:rFonts w:hint="eastAsia" w:ascii="仿宋" w:hAnsi="仿宋" w:eastAsia="仿宋" w:cs="仿宋"/>
          <w:color w:val="auto"/>
          <w:sz w:val="32"/>
          <w:szCs w:val="32"/>
          <w:highlight w:val="none"/>
        </w:rPr>
        <w:t>遵守本次</w:t>
      </w:r>
      <w:r>
        <w:rPr>
          <w:rFonts w:hint="eastAsia" w:ascii="仿宋" w:hAnsi="仿宋" w:eastAsia="仿宋" w:cs="仿宋"/>
          <w:color w:val="auto"/>
          <w:sz w:val="32"/>
          <w:szCs w:val="32"/>
          <w:highlight w:val="none"/>
          <w:lang w:val="en-US" w:eastAsia="zh-CN"/>
        </w:rPr>
        <w:t>招</w:t>
      </w:r>
      <w:r>
        <w:rPr>
          <w:rFonts w:hint="eastAsia" w:ascii="仿宋" w:hAnsi="仿宋" w:eastAsia="仿宋" w:cs="仿宋"/>
          <w:color w:val="auto"/>
          <w:sz w:val="32"/>
          <w:szCs w:val="32"/>
          <w:highlight w:val="none"/>
          <w:lang w:eastAsia="zh-CN"/>
        </w:rPr>
        <w:t>标</w:t>
      </w:r>
      <w:r>
        <w:rPr>
          <w:rFonts w:hint="eastAsia" w:ascii="仿宋" w:hAnsi="仿宋" w:eastAsia="仿宋" w:cs="仿宋"/>
          <w:color w:val="auto"/>
          <w:sz w:val="32"/>
          <w:szCs w:val="32"/>
          <w:highlight w:val="none"/>
        </w:rPr>
        <w:t>的各项管理制度，自觉维护</w:t>
      </w:r>
      <w:r>
        <w:rPr>
          <w:rFonts w:hint="eastAsia" w:ascii="仿宋" w:hAnsi="仿宋" w:eastAsia="仿宋" w:cs="仿宋"/>
          <w:color w:val="auto"/>
          <w:sz w:val="32"/>
          <w:szCs w:val="32"/>
          <w:highlight w:val="none"/>
          <w:lang w:val="en-US" w:eastAsia="zh-CN"/>
        </w:rPr>
        <w:t>招</w:t>
      </w:r>
      <w:r>
        <w:rPr>
          <w:rFonts w:hint="eastAsia" w:ascii="仿宋" w:hAnsi="仿宋" w:eastAsia="仿宋" w:cs="仿宋"/>
          <w:color w:val="auto"/>
          <w:sz w:val="32"/>
          <w:szCs w:val="32"/>
          <w:highlight w:val="none"/>
          <w:lang w:eastAsia="zh-CN"/>
        </w:rPr>
        <w:t>标</w:t>
      </w:r>
      <w:r>
        <w:rPr>
          <w:rFonts w:hint="eastAsia" w:ascii="仿宋" w:hAnsi="仿宋" w:eastAsia="仿宋" w:cs="仿宋"/>
          <w:color w:val="auto"/>
          <w:sz w:val="32"/>
          <w:szCs w:val="32"/>
          <w:highlight w:val="none"/>
        </w:rPr>
        <w:t>单位的正常工作秩序。若有违反，同意被废除投标资格并接受处罚。</w:t>
      </w:r>
    </w:p>
    <w:p w14:paraId="6EBA121A">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3.</w:t>
      </w:r>
      <w:r>
        <w:rPr>
          <w:rFonts w:hint="eastAsia" w:ascii="仿宋" w:hAnsi="仿宋" w:eastAsia="仿宋" w:cs="仿宋"/>
          <w:color w:val="auto"/>
          <w:sz w:val="32"/>
          <w:szCs w:val="32"/>
          <w:highlight w:val="none"/>
        </w:rPr>
        <w:t>服从招标有关议程事项安排，服从招标有关会议现场纪律。若有违反，同意被废除投标资格并接受处罚。</w:t>
      </w:r>
    </w:p>
    <w:p w14:paraId="1B30FBA4">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4.</w:t>
      </w:r>
      <w:r>
        <w:rPr>
          <w:rFonts w:hint="eastAsia" w:ascii="仿宋" w:hAnsi="仿宋" w:eastAsia="仿宋" w:cs="仿宋"/>
          <w:color w:val="auto"/>
          <w:sz w:val="32"/>
          <w:szCs w:val="32"/>
          <w:highlight w:val="none"/>
        </w:rPr>
        <w:t>接受招标文件全部条款及内容；对招标文件条款有疑问的，按招标文件规定在澄清期内以书面形式提出。若有违反，同意被废除投标资格并接受处罚。</w:t>
      </w:r>
    </w:p>
    <w:p w14:paraId="51E7457D">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5.</w:t>
      </w:r>
      <w:r>
        <w:rPr>
          <w:rFonts w:hint="eastAsia" w:ascii="仿宋" w:hAnsi="仿宋" w:eastAsia="仿宋" w:cs="仿宋"/>
          <w:color w:val="auto"/>
          <w:sz w:val="32"/>
          <w:szCs w:val="32"/>
          <w:highlight w:val="none"/>
        </w:rPr>
        <w:t>保证投标文件内容无任何虚假。若评标过程中查有虚假，同意作无效投标文件处理并被没收投标保证金，若中标之后查有虚假，同意被废除授标并被没收投标保证金。</w:t>
      </w:r>
    </w:p>
    <w:p w14:paraId="3B395A60">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6.</w:t>
      </w:r>
      <w:r>
        <w:rPr>
          <w:rFonts w:hint="eastAsia" w:ascii="仿宋" w:hAnsi="仿宋" w:eastAsia="仿宋" w:cs="仿宋"/>
          <w:color w:val="auto"/>
          <w:sz w:val="32"/>
          <w:szCs w:val="32"/>
          <w:highlight w:val="none"/>
        </w:rPr>
        <w:t>保证投标报价不存在低于成本的恶意报价行为。</w:t>
      </w:r>
    </w:p>
    <w:p w14:paraId="3BDCD2BE">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7.</w:t>
      </w:r>
      <w:r>
        <w:rPr>
          <w:rFonts w:hint="eastAsia" w:ascii="仿宋" w:hAnsi="仿宋" w:eastAsia="仿宋" w:cs="仿宋"/>
          <w:color w:val="auto"/>
          <w:sz w:val="32"/>
          <w:szCs w:val="32"/>
          <w:highlight w:val="none"/>
        </w:rPr>
        <w:t>保证无论中标与否，均不以不正当方式向招标单位探询评标信息。</w:t>
      </w:r>
    </w:p>
    <w:p w14:paraId="5D1CD868">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8.</w:t>
      </w:r>
      <w:r>
        <w:rPr>
          <w:rFonts w:hint="eastAsia" w:ascii="仿宋" w:hAnsi="仿宋" w:eastAsia="仿宋" w:cs="仿宋"/>
          <w:color w:val="auto"/>
          <w:sz w:val="32"/>
          <w:szCs w:val="32"/>
          <w:highlight w:val="none"/>
        </w:rPr>
        <w:t>保证按照招标文件及中标通知书规定商签供货合同及提交履约保证金。如有违反，同意接受招标单位违约处罚并被没收投标保证金。</w:t>
      </w:r>
    </w:p>
    <w:p w14:paraId="6F7F5798">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9.</w:t>
      </w:r>
      <w:r>
        <w:rPr>
          <w:rFonts w:hint="eastAsia" w:ascii="仿宋" w:hAnsi="仿宋" w:eastAsia="仿宋" w:cs="仿宋"/>
          <w:color w:val="auto"/>
          <w:sz w:val="32"/>
          <w:szCs w:val="32"/>
          <w:highlight w:val="none"/>
        </w:rPr>
        <w:t>保证按照供货合同约定完成合同范围内的全部内容相关责任。如有违反，同意接受建设单位违约处罚并被没收履约保证金。</w:t>
      </w:r>
    </w:p>
    <w:p w14:paraId="0C6A3131">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10.</w:t>
      </w:r>
      <w:r>
        <w:rPr>
          <w:rFonts w:hint="eastAsia" w:ascii="仿宋" w:hAnsi="仿宋" w:eastAsia="仿宋" w:cs="仿宋"/>
          <w:color w:val="auto"/>
          <w:sz w:val="32"/>
          <w:szCs w:val="32"/>
          <w:highlight w:val="none"/>
        </w:rPr>
        <w:t>保证中标之后不转包及使用挂靠配送队伍，若有分包将征得招标单位同意。</w:t>
      </w:r>
    </w:p>
    <w:p w14:paraId="008C8990">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11.</w:t>
      </w:r>
      <w:r>
        <w:rPr>
          <w:rFonts w:hint="eastAsia" w:ascii="仿宋" w:hAnsi="仿宋" w:eastAsia="仿宋" w:cs="仿宋"/>
          <w:color w:val="auto"/>
          <w:sz w:val="32"/>
          <w:szCs w:val="32"/>
          <w:highlight w:val="none"/>
        </w:rPr>
        <w:t>保证中标之后按照投标文件承诺派驻管理人员及投入配送车辆及设备，如有违反，同意接受招标单位违约处罚并被没收履约保证金。</w:t>
      </w:r>
    </w:p>
    <w:p w14:paraId="631AF1B5">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12.</w:t>
      </w:r>
      <w:r>
        <w:rPr>
          <w:rFonts w:hint="eastAsia" w:ascii="仿宋" w:hAnsi="仿宋" w:eastAsia="仿宋" w:cs="仿宋"/>
          <w:color w:val="auto"/>
          <w:sz w:val="32"/>
          <w:szCs w:val="32"/>
          <w:highlight w:val="none"/>
        </w:rPr>
        <w:t>保证中标之后密切配合招标单位开展工作，服从招标单位驻现场代表人员的管理。</w:t>
      </w:r>
    </w:p>
    <w:p w14:paraId="7763A8A5">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13.</w:t>
      </w:r>
      <w:r>
        <w:rPr>
          <w:rFonts w:hint="eastAsia" w:ascii="仿宋" w:hAnsi="仿宋" w:eastAsia="仿宋" w:cs="仿宋"/>
          <w:color w:val="auto"/>
          <w:sz w:val="32"/>
          <w:szCs w:val="32"/>
          <w:highlight w:val="none"/>
        </w:rPr>
        <w:t>保证按照招标文件及供货合同约定原则处理价格调整事宜，不会发生签署供货合同之后恶意提高价格的行为。</w:t>
      </w:r>
    </w:p>
    <w:p w14:paraId="4C81EA78">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p>
    <w:p w14:paraId="61FB770D">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投标单位（公章）：</w:t>
      </w:r>
    </w:p>
    <w:p w14:paraId="1E632A75">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p>
    <w:p w14:paraId="15161BED">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法人代表（签名）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年  月  日</w:t>
      </w:r>
    </w:p>
    <w:p w14:paraId="37620A91">
      <w:pPr>
        <w:spacing w:line="370" w:lineRule="exact"/>
        <w:ind w:firstLine="960" w:firstLineChars="300"/>
        <w:jc w:val="both"/>
        <w:rPr>
          <w:rFonts w:hint="eastAsia" w:ascii="仿宋" w:hAnsi="仿宋" w:eastAsia="仿宋" w:cs="仿宋"/>
          <w:color w:val="auto"/>
          <w:sz w:val="32"/>
          <w:szCs w:val="32"/>
          <w:highlight w:val="none"/>
          <w:lang w:val="en-US" w:eastAsia="zh-CN"/>
        </w:rPr>
      </w:pPr>
    </w:p>
    <w:p w14:paraId="387D1EF1">
      <w:pPr>
        <w:numPr>
          <w:ilvl w:val="0"/>
          <w:numId w:val="0"/>
        </w:numPr>
        <w:spacing w:line="370" w:lineRule="exact"/>
        <w:jc w:val="both"/>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投标承诺书</w:t>
      </w:r>
      <w:r>
        <w:rPr>
          <w:rFonts w:hint="eastAsia" w:ascii="仿宋" w:hAnsi="仿宋" w:eastAsia="仿宋" w:cs="仿宋"/>
          <w:b/>
          <w:bCs/>
          <w:color w:val="auto"/>
          <w:sz w:val="32"/>
          <w:szCs w:val="32"/>
          <w:highlight w:val="none"/>
          <w:lang w:val="en-US" w:eastAsia="zh-CN"/>
        </w:rPr>
        <w:t>102</w:t>
      </w:r>
    </w:p>
    <w:p w14:paraId="57205962">
      <w:pPr>
        <w:numPr>
          <w:ilvl w:val="0"/>
          <w:numId w:val="0"/>
        </w:numPr>
        <w:spacing w:line="370" w:lineRule="exact"/>
        <w:jc w:val="both"/>
        <w:rPr>
          <w:rFonts w:hint="eastAsia" w:ascii="仿宋" w:hAnsi="仿宋" w:eastAsia="仿宋" w:cs="仿宋"/>
          <w:b/>
          <w:bCs/>
          <w:color w:val="auto"/>
          <w:sz w:val="32"/>
          <w:szCs w:val="32"/>
          <w:highlight w:val="none"/>
        </w:rPr>
      </w:pPr>
    </w:p>
    <w:p w14:paraId="71BF97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32"/>
          <w:szCs w:val="32"/>
          <w:highlight w:val="none"/>
          <w:lang w:val="en-US" w:eastAsia="zh-CN"/>
        </w:rPr>
      </w:pPr>
      <w:r>
        <w:rPr>
          <w:rFonts w:hint="eastAsia" w:ascii="仿宋" w:hAnsi="仿宋" w:eastAsia="仿宋" w:cs="仿宋"/>
          <w:b/>
          <w:bCs/>
          <w:color w:val="auto"/>
          <w:sz w:val="32"/>
          <w:szCs w:val="32"/>
          <w:highlight w:val="none"/>
        </w:rPr>
        <w:t>项目名称：</w:t>
      </w:r>
      <w:r>
        <w:rPr>
          <w:rFonts w:hint="eastAsia" w:ascii="仿宋" w:hAnsi="仿宋" w:eastAsia="仿宋" w:cs="仿宋"/>
          <w:b/>
          <w:bCs/>
          <w:color w:val="auto"/>
          <w:sz w:val="32"/>
          <w:szCs w:val="32"/>
          <w:highlight w:val="none"/>
          <w:lang w:val="en-US" w:eastAsia="zh-CN"/>
        </w:rPr>
        <w:t>衢州</w:t>
      </w:r>
      <w:r>
        <w:rPr>
          <w:rFonts w:hint="eastAsia" w:ascii="仿宋" w:hAnsi="仿宋" w:eastAsia="仿宋" w:cs="仿宋"/>
          <w:b/>
          <w:bCs/>
          <w:color w:val="auto"/>
          <w:sz w:val="32"/>
          <w:szCs w:val="32"/>
          <w:highlight w:val="none"/>
          <w:lang w:eastAsia="zh-CN"/>
        </w:rPr>
        <w:t>温氏畜牧有限公司</w:t>
      </w:r>
      <w:r>
        <w:rPr>
          <w:rFonts w:hint="eastAsia" w:ascii="仿宋" w:hAnsi="仿宋" w:eastAsia="仿宋" w:cs="仿宋"/>
          <w:b/>
          <w:bCs/>
          <w:color w:val="auto"/>
          <w:sz w:val="32"/>
          <w:szCs w:val="32"/>
          <w:highlight w:val="none"/>
        </w:rPr>
        <w:t>工业丙烷采购及配送业务</w:t>
      </w:r>
    </w:p>
    <w:p w14:paraId="29B7951A">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本单位已详细阅读上述招标文件，现自愿就参加上述项目投标有关事项向招标单位郑重承诺如下：</w:t>
      </w:r>
    </w:p>
    <w:p w14:paraId="5822F46D">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w:t>
      </w:r>
      <w:r>
        <w:rPr>
          <w:rFonts w:hint="eastAsia" w:ascii="仿宋" w:hAnsi="仿宋" w:eastAsia="仿宋" w:cs="仿宋"/>
          <w:color w:val="auto"/>
          <w:sz w:val="32"/>
          <w:szCs w:val="32"/>
          <w:highlight w:val="none"/>
        </w:rPr>
        <w:t>遵守中华人民共和国浙江省衢州市有关</w:t>
      </w:r>
      <w:r>
        <w:rPr>
          <w:rFonts w:hint="eastAsia" w:ascii="仿宋" w:hAnsi="仿宋" w:eastAsia="仿宋" w:cs="仿宋"/>
          <w:color w:val="auto"/>
          <w:sz w:val="32"/>
          <w:szCs w:val="32"/>
          <w:highlight w:val="none"/>
          <w:lang w:val="en-US" w:eastAsia="zh-CN"/>
        </w:rPr>
        <w:t>招</w:t>
      </w:r>
      <w:r>
        <w:rPr>
          <w:rFonts w:hint="eastAsia" w:ascii="仿宋" w:hAnsi="仿宋" w:eastAsia="仿宋" w:cs="仿宋"/>
          <w:color w:val="auto"/>
          <w:sz w:val="32"/>
          <w:szCs w:val="32"/>
          <w:highlight w:val="none"/>
          <w:lang w:eastAsia="zh-CN"/>
        </w:rPr>
        <w:t>标</w:t>
      </w:r>
      <w:r>
        <w:rPr>
          <w:rFonts w:hint="eastAsia" w:ascii="仿宋" w:hAnsi="仿宋" w:eastAsia="仿宋" w:cs="仿宋"/>
          <w:color w:val="auto"/>
          <w:sz w:val="32"/>
          <w:szCs w:val="32"/>
          <w:highlight w:val="none"/>
        </w:rPr>
        <w:t>投标的法律法规规定及温氏集团</w:t>
      </w:r>
      <w:r>
        <w:rPr>
          <w:rFonts w:hint="eastAsia" w:ascii="仿宋" w:hAnsi="仿宋" w:eastAsia="仿宋" w:cs="仿宋"/>
          <w:color w:val="auto"/>
          <w:sz w:val="32"/>
          <w:szCs w:val="32"/>
          <w:highlight w:val="none"/>
          <w:lang w:val="en-US" w:eastAsia="zh-CN"/>
        </w:rPr>
        <w:t>招</w:t>
      </w:r>
      <w:r>
        <w:rPr>
          <w:rFonts w:hint="eastAsia" w:ascii="仿宋" w:hAnsi="仿宋" w:eastAsia="仿宋" w:cs="仿宋"/>
          <w:color w:val="auto"/>
          <w:sz w:val="32"/>
          <w:szCs w:val="32"/>
          <w:highlight w:val="none"/>
          <w:lang w:eastAsia="zh-CN"/>
        </w:rPr>
        <w:t>标</w:t>
      </w:r>
      <w:r>
        <w:rPr>
          <w:rFonts w:hint="eastAsia" w:ascii="仿宋" w:hAnsi="仿宋" w:eastAsia="仿宋" w:cs="仿宋"/>
          <w:color w:val="auto"/>
          <w:sz w:val="32"/>
          <w:szCs w:val="32"/>
          <w:highlight w:val="none"/>
        </w:rPr>
        <w:t>相关规定，自觉维护正常秩序。若有违反，同意被废除投标资格并接受处罚。</w:t>
      </w:r>
    </w:p>
    <w:p w14:paraId="318FA6F8">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2.</w:t>
      </w:r>
      <w:r>
        <w:rPr>
          <w:rFonts w:hint="eastAsia" w:ascii="仿宋" w:hAnsi="仿宋" w:eastAsia="仿宋" w:cs="仿宋"/>
          <w:color w:val="auto"/>
          <w:sz w:val="32"/>
          <w:szCs w:val="32"/>
          <w:highlight w:val="none"/>
        </w:rPr>
        <w:t>遵守本次</w:t>
      </w:r>
      <w:r>
        <w:rPr>
          <w:rFonts w:hint="eastAsia" w:ascii="仿宋" w:hAnsi="仿宋" w:eastAsia="仿宋" w:cs="仿宋"/>
          <w:color w:val="auto"/>
          <w:sz w:val="32"/>
          <w:szCs w:val="32"/>
          <w:highlight w:val="none"/>
          <w:lang w:val="en-US" w:eastAsia="zh-CN"/>
        </w:rPr>
        <w:t>招</w:t>
      </w:r>
      <w:r>
        <w:rPr>
          <w:rFonts w:hint="eastAsia" w:ascii="仿宋" w:hAnsi="仿宋" w:eastAsia="仿宋" w:cs="仿宋"/>
          <w:color w:val="auto"/>
          <w:sz w:val="32"/>
          <w:szCs w:val="32"/>
          <w:highlight w:val="none"/>
          <w:lang w:eastAsia="zh-CN"/>
        </w:rPr>
        <w:t>标</w:t>
      </w:r>
      <w:r>
        <w:rPr>
          <w:rFonts w:hint="eastAsia" w:ascii="仿宋" w:hAnsi="仿宋" w:eastAsia="仿宋" w:cs="仿宋"/>
          <w:color w:val="auto"/>
          <w:sz w:val="32"/>
          <w:szCs w:val="32"/>
          <w:highlight w:val="none"/>
        </w:rPr>
        <w:t>的各项管理制度，自觉维护</w:t>
      </w:r>
      <w:r>
        <w:rPr>
          <w:rFonts w:hint="eastAsia" w:ascii="仿宋" w:hAnsi="仿宋" w:eastAsia="仿宋" w:cs="仿宋"/>
          <w:color w:val="auto"/>
          <w:sz w:val="32"/>
          <w:szCs w:val="32"/>
          <w:highlight w:val="none"/>
          <w:lang w:val="en-US" w:eastAsia="zh-CN"/>
        </w:rPr>
        <w:t>招</w:t>
      </w:r>
      <w:r>
        <w:rPr>
          <w:rFonts w:hint="eastAsia" w:ascii="仿宋" w:hAnsi="仿宋" w:eastAsia="仿宋" w:cs="仿宋"/>
          <w:color w:val="auto"/>
          <w:sz w:val="32"/>
          <w:szCs w:val="32"/>
          <w:highlight w:val="none"/>
          <w:lang w:eastAsia="zh-CN"/>
        </w:rPr>
        <w:t>标</w:t>
      </w:r>
      <w:r>
        <w:rPr>
          <w:rFonts w:hint="eastAsia" w:ascii="仿宋" w:hAnsi="仿宋" w:eastAsia="仿宋" w:cs="仿宋"/>
          <w:color w:val="auto"/>
          <w:sz w:val="32"/>
          <w:szCs w:val="32"/>
          <w:highlight w:val="none"/>
        </w:rPr>
        <w:t>单位的正常工作秩序。若有违反，同意被废除投标资格并接受处罚。</w:t>
      </w:r>
    </w:p>
    <w:p w14:paraId="62297344">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3.</w:t>
      </w:r>
      <w:r>
        <w:rPr>
          <w:rFonts w:hint="eastAsia" w:ascii="仿宋" w:hAnsi="仿宋" w:eastAsia="仿宋" w:cs="仿宋"/>
          <w:color w:val="auto"/>
          <w:sz w:val="32"/>
          <w:szCs w:val="32"/>
          <w:highlight w:val="none"/>
        </w:rPr>
        <w:t>服从招标有关议程事项安排，服从招标有关会议现场纪律。若有违反，同意被废除投标资格并接受处罚。</w:t>
      </w:r>
    </w:p>
    <w:p w14:paraId="1AAB56FA">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4.</w:t>
      </w:r>
      <w:r>
        <w:rPr>
          <w:rFonts w:hint="eastAsia" w:ascii="仿宋" w:hAnsi="仿宋" w:eastAsia="仿宋" w:cs="仿宋"/>
          <w:color w:val="auto"/>
          <w:sz w:val="32"/>
          <w:szCs w:val="32"/>
          <w:highlight w:val="none"/>
        </w:rPr>
        <w:t>接受招标文件全部条款及内容；对招标文件条款有疑问的，按招标文件规定在澄清期内以书面形式提出。若有违反，同意被废除投标资格并接受处罚。</w:t>
      </w:r>
    </w:p>
    <w:p w14:paraId="211BA865">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5.</w:t>
      </w:r>
      <w:r>
        <w:rPr>
          <w:rFonts w:hint="eastAsia" w:ascii="仿宋" w:hAnsi="仿宋" w:eastAsia="仿宋" w:cs="仿宋"/>
          <w:color w:val="auto"/>
          <w:sz w:val="32"/>
          <w:szCs w:val="32"/>
          <w:highlight w:val="none"/>
        </w:rPr>
        <w:t>保证投标文件内容无任何虚假。若评标过程中查有虚假，同意作无效投标文件处理并被没收投标保证金，若中标之后查有虚假，同意被废除授标并被没收投标保证金。</w:t>
      </w:r>
    </w:p>
    <w:p w14:paraId="2B413BB6">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6.</w:t>
      </w:r>
      <w:r>
        <w:rPr>
          <w:rFonts w:hint="eastAsia" w:ascii="仿宋" w:hAnsi="仿宋" w:eastAsia="仿宋" w:cs="仿宋"/>
          <w:color w:val="auto"/>
          <w:sz w:val="32"/>
          <w:szCs w:val="32"/>
          <w:highlight w:val="none"/>
        </w:rPr>
        <w:t>保证投标报价不存在低于成本的恶意报价行为。</w:t>
      </w:r>
    </w:p>
    <w:p w14:paraId="05359FA5">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7.</w:t>
      </w:r>
      <w:r>
        <w:rPr>
          <w:rFonts w:hint="eastAsia" w:ascii="仿宋" w:hAnsi="仿宋" w:eastAsia="仿宋" w:cs="仿宋"/>
          <w:color w:val="auto"/>
          <w:sz w:val="32"/>
          <w:szCs w:val="32"/>
          <w:highlight w:val="none"/>
        </w:rPr>
        <w:t>保证无论中标与否，均不以不正当方式向招标单位探询评标信息。</w:t>
      </w:r>
    </w:p>
    <w:p w14:paraId="7A3BD818">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8.</w:t>
      </w:r>
      <w:r>
        <w:rPr>
          <w:rFonts w:hint="eastAsia" w:ascii="仿宋" w:hAnsi="仿宋" w:eastAsia="仿宋" w:cs="仿宋"/>
          <w:color w:val="auto"/>
          <w:sz w:val="32"/>
          <w:szCs w:val="32"/>
          <w:highlight w:val="none"/>
        </w:rPr>
        <w:t>保证按照招标文件及中标通知书规定商签供货合同及提交履约保证金。如有违反，同意接受招标单位违约处罚并被没收投标保证金。</w:t>
      </w:r>
    </w:p>
    <w:p w14:paraId="0A7E4ED9">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9.</w:t>
      </w:r>
      <w:r>
        <w:rPr>
          <w:rFonts w:hint="eastAsia" w:ascii="仿宋" w:hAnsi="仿宋" w:eastAsia="仿宋" w:cs="仿宋"/>
          <w:color w:val="auto"/>
          <w:sz w:val="32"/>
          <w:szCs w:val="32"/>
          <w:highlight w:val="none"/>
        </w:rPr>
        <w:t>保证按照供货合同约定完成合同范围内的全部内容相关责任。如有违反，同意接受建设单位违约处罚并被没收履约保证金。</w:t>
      </w:r>
    </w:p>
    <w:p w14:paraId="6AF9FBF2">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10.</w:t>
      </w:r>
      <w:r>
        <w:rPr>
          <w:rFonts w:hint="eastAsia" w:ascii="仿宋" w:hAnsi="仿宋" w:eastAsia="仿宋" w:cs="仿宋"/>
          <w:color w:val="auto"/>
          <w:sz w:val="32"/>
          <w:szCs w:val="32"/>
          <w:highlight w:val="none"/>
        </w:rPr>
        <w:t>保证中标之后不转包及使用挂靠配送队伍，若有分包将征得招标单位同意。</w:t>
      </w:r>
    </w:p>
    <w:p w14:paraId="53F04DC8">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11.</w:t>
      </w:r>
      <w:r>
        <w:rPr>
          <w:rFonts w:hint="eastAsia" w:ascii="仿宋" w:hAnsi="仿宋" w:eastAsia="仿宋" w:cs="仿宋"/>
          <w:color w:val="auto"/>
          <w:sz w:val="32"/>
          <w:szCs w:val="32"/>
          <w:highlight w:val="none"/>
        </w:rPr>
        <w:t>保证中标之后按照投标文件承诺派驻管理人员及投入配送车辆及设备，如有违反，同意接受招标单位违约处罚并被没收履约保证金。</w:t>
      </w:r>
    </w:p>
    <w:p w14:paraId="3ABEA64F">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12.</w:t>
      </w:r>
      <w:r>
        <w:rPr>
          <w:rFonts w:hint="eastAsia" w:ascii="仿宋" w:hAnsi="仿宋" w:eastAsia="仿宋" w:cs="仿宋"/>
          <w:color w:val="auto"/>
          <w:sz w:val="32"/>
          <w:szCs w:val="32"/>
          <w:highlight w:val="none"/>
        </w:rPr>
        <w:t>保证中标之后密切配合招标单位开展工作，服从招标单位驻现场代表人员的管理。</w:t>
      </w:r>
    </w:p>
    <w:p w14:paraId="3E38383D">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13.</w:t>
      </w:r>
      <w:r>
        <w:rPr>
          <w:rFonts w:hint="eastAsia" w:ascii="仿宋" w:hAnsi="仿宋" w:eastAsia="仿宋" w:cs="仿宋"/>
          <w:color w:val="auto"/>
          <w:sz w:val="32"/>
          <w:szCs w:val="32"/>
          <w:highlight w:val="none"/>
        </w:rPr>
        <w:t>保证按照招标文件及供货合同约定原则处理价格调整事宜，不会发生签署供货合同之后恶意提高价格的行为。</w:t>
      </w:r>
    </w:p>
    <w:p w14:paraId="688657D1">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p>
    <w:p w14:paraId="74F1B992">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投标单位（公章）：</w:t>
      </w:r>
    </w:p>
    <w:p w14:paraId="1E5BAD42">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eastAsia" w:ascii="仿宋" w:hAnsi="仿宋" w:eastAsia="仿宋" w:cs="仿宋"/>
          <w:color w:val="auto"/>
          <w:sz w:val="32"/>
          <w:szCs w:val="32"/>
          <w:highlight w:val="none"/>
        </w:rPr>
      </w:pPr>
    </w:p>
    <w:p w14:paraId="022F98C1">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法人代表（签名）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年  月  日</w:t>
      </w:r>
    </w:p>
    <w:p w14:paraId="26A0C7BE">
      <w:pPr>
        <w:spacing w:line="370" w:lineRule="exact"/>
        <w:ind w:firstLine="960" w:firstLineChars="300"/>
        <w:jc w:val="both"/>
        <w:rPr>
          <w:rFonts w:hint="eastAsia" w:ascii="仿宋" w:hAnsi="仿宋" w:eastAsia="仿宋" w:cs="仿宋"/>
          <w:color w:val="auto"/>
          <w:sz w:val="32"/>
          <w:szCs w:val="32"/>
          <w:highlight w:val="none"/>
          <w:lang w:val="en-US" w:eastAsia="zh-CN"/>
        </w:rPr>
        <w:sectPr>
          <w:headerReference r:id="rId4" w:type="first"/>
          <w:headerReference r:id="rId3" w:type="default"/>
          <w:footerReference r:id="rId5" w:type="default"/>
          <w:pgSz w:w="11906" w:h="16838"/>
          <w:pgMar w:top="1440" w:right="1800" w:bottom="1440" w:left="1800" w:header="850" w:footer="851" w:gutter="0"/>
          <w:cols w:space="720" w:num="1"/>
          <w:docGrid w:type="lines" w:linePitch="312" w:charSpace="0"/>
        </w:sectPr>
      </w:pPr>
    </w:p>
    <w:p w14:paraId="05899720">
      <w:pPr>
        <w:keepNext/>
        <w:keepLines/>
        <w:adjustRightInd w:val="0"/>
        <w:spacing w:before="260" w:after="260" w:line="600" w:lineRule="auto"/>
        <w:jc w:val="both"/>
        <w:textAlignment w:val="baseline"/>
        <w:outlineLvl w:val="1"/>
        <w:rPr>
          <w:rFonts w:hint="eastAsia" w:ascii="仿宋" w:hAnsi="仿宋" w:eastAsia="仿宋" w:cs="仿宋"/>
          <w:b/>
          <w:bCs/>
          <w:kern w:val="0"/>
          <w:sz w:val="32"/>
          <w:szCs w:val="32"/>
          <w:highlight w:val="none"/>
        </w:rPr>
      </w:pPr>
      <w:bookmarkStart w:id="15" w:name="_Toc475431720"/>
      <w:bookmarkStart w:id="16" w:name="_Toc330078396"/>
      <w:r>
        <w:rPr>
          <w:rFonts w:hint="eastAsia" w:ascii="仿宋" w:hAnsi="仿宋" w:eastAsia="仿宋" w:cs="仿宋"/>
          <w:b/>
          <w:bCs/>
          <w:kern w:val="0"/>
          <w:sz w:val="32"/>
          <w:szCs w:val="32"/>
          <w:highlight w:val="none"/>
          <w:lang w:val="en-US" w:eastAsia="zh-CN"/>
        </w:rPr>
        <w:t>五、浙南鸡业公司工业丙烷采购项目投标一览表</w:t>
      </w:r>
      <w:bookmarkEnd w:id="15"/>
      <w:bookmarkEnd w:id="16"/>
    </w:p>
    <w:p w14:paraId="48F7CED8">
      <w:pPr>
        <w:spacing w:line="360" w:lineRule="auto"/>
        <w:jc w:val="both"/>
        <w:rPr>
          <w:rFonts w:hint="eastAsia" w:ascii="仿宋" w:hAnsi="仿宋" w:eastAsia="仿宋" w:cs="仿宋"/>
          <w:b/>
          <w:bCs/>
          <w:sz w:val="32"/>
          <w:szCs w:val="32"/>
          <w:highlight w:val="none"/>
          <w:u w:val="single"/>
          <w:lang w:val="en-US" w:eastAsia="zh-CN"/>
        </w:rPr>
      </w:pPr>
      <w:r>
        <w:rPr>
          <w:rFonts w:hint="eastAsia" w:ascii="仿宋" w:hAnsi="仿宋" w:eastAsia="仿宋" w:cs="仿宋"/>
          <w:b/>
          <w:bCs/>
          <w:sz w:val="32"/>
          <w:szCs w:val="32"/>
          <w:highlight w:val="none"/>
        </w:rPr>
        <w:t>项目名称：</w:t>
      </w:r>
      <w:r>
        <w:rPr>
          <w:rFonts w:hint="eastAsia" w:ascii="仿宋" w:hAnsi="仿宋" w:eastAsia="仿宋" w:cs="仿宋"/>
          <w:b/>
          <w:bCs/>
          <w:sz w:val="32"/>
          <w:szCs w:val="32"/>
          <w:highlight w:val="none"/>
          <w:lang w:val="en-US" w:eastAsia="zh-CN"/>
        </w:rPr>
        <w:t>浙南鸡业公司</w:t>
      </w:r>
      <w:r>
        <w:rPr>
          <w:rFonts w:hint="eastAsia" w:ascii="仿宋" w:hAnsi="仿宋" w:eastAsia="仿宋" w:cs="仿宋"/>
          <w:b/>
          <w:bCs/>
          <w:sz w:val="32"/>
          <w:szCs w:val="32"/>
          <w:highlight w:val="none"/>
        </w:rPr>
        <w:t>工业丙烷采购及配送业务</w:t>
      </w:r>
    </w:p>
    <w:tbl>
      <w:tblPr>
        <w:tblStyle w:val="17"/>
        <w:tblW w:w="139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7"/>
        <w:gridCol w:w="3348"/>
        <w:gridCol w:w="1723"/>
        <w:gridCol w:w="2889"/>
        <w:gridCol w:w="1997"/>
        <w:gridCol w:w="3084"/>
      </w:tblGrid>
      <w:tr w14:paraId="73DC1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exact"/>
          <w:jc w:val="center"/>
        </w:trPr>
        <w:tc>
          <w:tcPr>
            <w:tcW w:w="867" w:type="dxa"/>
            <w:noWrap w:val="0"/>
          </w:tcPr>
          <w:p w14:paraId="5F3BDA4E">
            <w:pPr>
              <w:spacing w:line="240" w:lineRule="auto"/>
              <w:ind w:left="0" w:leftChars="0" w:right="0" w:rightChars="0"/>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序号</w:t>
            </w:r>
          </w:p>
        </w:tc>
        <w:tc>
          <w:tcPr>
            <w:tcW w:w="3348" w:type="dxa"/>
            <w:noWrap w:val="0"/>
          </w:tcPr>
          <w:p w14:paraId="0603B01A">
            <w:pPr>
              <w:spacing w:line="240" w:lineRule="auto"/>
              <w:ind w:left="0" w:leftChars="0" w:right="0" w:right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分项业务名称</w:t>
            </w:r>
          </w:p>
        </w:tc>
        <w:tc>
          <w:tcPr>
            <w:tcW w:w="1723" w:type="dxa"/>
            <w:noWrap w:val="0"/>
          </w:tcPr>
          <w:p w14:paraId="7722044A">
            <w:pPr>
              <w:spacing w:line="240" w:lineRule="auto"/>
              <w:ind w:left="0" w:leftChars="0" w:right="0" w:right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规格型号</w:t>
            </w:r>
          </w:p>
        </w:tc>
        <w:tc>
          <w:tcPr>
            <w:tcW w:w="2889" w:type="dxa"/>
            <w:noWrap w:val="0"/>
          </w:tcPr>
          <w:p w14:paraId="2EC972A3">
            <w:pPr>
              <w:spacing w:line="240" w:lineRule="auto"/>
              <w:ind w:left="0" w:leftChars="0" w:right="0" w:rightChars="0"/>
              <w:jc w:val="both"/>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采购数量（暂定量）</w:t>
            </w:r>
          </w:p>
        </w:tc>
        <w:tc>
          <w:tcPr>
            <w:tcW w:w="1997" w:type="dxa"/>
            <w:tcBorders>
              <w:bottom w:val="single" w:color="auto" w:sz="4" w:space="0"/>
            </w:tcBorders>
            <w:noWrap w:val="0"/>
          </w:tcPr>
          <w:p w14:paraId="2FF8AFB4">
            <w:pPr>
              <w:spacing w:line="240" w:lineRule="auto"/>
              <w:ind w:left="0" w:leftChars="0" w:right="0" w:right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单价（元/</w:t>
            </w:r>
            <w:r>
              <w:rPr>
                <w:rFonts w:hint="eastAsia" w:ascii="仿宋" w:hAnsi="仿宋" w:eastAsia="仿宋" w:cs="仿宋"/>
                <w:sz w:val="32"/>
                <w:szCs w:val="32"/>
                <w:highlight w:val="none"/>
                <w:lang w:val="en-US" w:eastAsia="zh-CN"/>
              </w:rPr>
              <w:t>瓶</w:t>
            </w:r>
            <w:r>
              <w:rPr>
                <w:rFonts w:hint="eastAsia" w:ascii="仿宋" w:hAnsi="仿宋" w:eastAsia="仿宋" w:cs="仿宋"/>
                <w:sz w:val="32"/>
                <w:szCs w:val="32"/>
                <w:highlight w:val="none"/>
                <w:lang w:eastAsia="zh-CN"/>
              </w:rPr>
              <w:t>）</w:t>
            </w:r>
          </w:p>
        </w:tc>
        <w:tc>
          <w:tcPr>
            <w:tcW w:w="3084" w:type="dxa"/>
            <w:noWrap w:val="0"/>
          </w:tcPr>
          <w:p w14:paraId="18FDA128">
            <w:pPr>
              <w:spacing w:line="240" w:lineRule="auto"/>
              <w:ind w:left="0" w:leftChars="0" w:right="0" w:rightChars="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单价大写（元/瓶）</w:t>
            </w:r>
          </w:p>
        </w:tc>
      </w:tr>
      <w:tr w14:paraId="43C7A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8" w:hRule="exact"/>
          <w:jc w:val="center"/>
        </w:trPr>
        <w:tc>
          <w:tcPr>
            <w:tcW w:w="867" w:type="dxa"/>
            <w:noWrap w:val="0"/>
            <w:vAlign w:val="center"/>
          </w:tcPr>
          <w:p w14:paraId="51BFFB63">
            <w:pPr>
              <w:spacing w:line="240" w:lineRule="auto"/>
              <w:ind w:left="0" w:leftChars="0" w:right="0" w:rightChars="0"/>
              <w:jc w:val="center"/>
              <w:rPr>
                <w:rFonts w:hint="eastAsia"/>
                <w:sz w:val="30"/>
                <w:szCs w:val="30"/>
                <w:highlight w:val="none"/>
                <w:lang w:val="en-US" w:eastAsia="zh-CN"/>
              </w:rPr>
            </w:pPr>
            <w:r>
              <w:rPr>
                <w:rFonts w:hint="eastAsia"/>
                <w:sz w:val="30"/>
                <w:szCs w:val="30"/>
                <w:highlight w:val="none"/>
                <w:lang w:val="en-US" w:eastAsia="zh-CN"/>
              </w:rPr>
              <w:t>1</w:t>
            </w:r>
          </w:p>
        </w:tc>
        <w:tc>
          <w:tcPr>
            <w:tcW w:w="3348" w:type="dxa"/>
            <w:noWrap w:val="0"/>
            <w:vAlign w:val="center"/>
          </w:tcPr>
          <w:p w14:paraId="2D97F3F1">
            <w:pPr>
              <w:spacing w:line="240" w:lineRule="auto"/>
              <w:ind w:left="0" w:leftChars="0" w:right="0" w:rightChars="0"/>
              <w:jc w:val="both"/>
              <w:rPr>
                <w:rFonts w:hint="eastAsia"/>
                <w:sz w:val="30"/>
                <w:szCs w:val="30"/>
                <w:highlight w:val="none"/>
                <w:lang w:eastAsia="zh-CN"/>
              </w:rPr>
            </w:pPr>
            <w:r>
              <w:rPr>
                <w:rFonts w:hint="eastAsia"/>
                <w:sz w:val="30"/>
                <w:szCs w:val="30"/>
                <w:highlight w:val="none"/>
                <w:lang w:val="en-US" w:eastAsia="zh-CN"/>
              </w:rPr>
              <w:t>工业丙烷采购及配送业务（吴村种鸡场）</w:t>
            </w:r>
          </w:p>
        </w:tc>
        <w:tc>
          <w:tcPr>
            <w:tcW w:w="1723" w:type="dxa"/>
            <w:noWrap w:val="0"/>
            <w:vAlign w:val="center"/>
          </w:tcPr>
          <w:p w14:paraId="17160F49">
            <w:pPr>
              <w:spacing w:line="240" w:lineRule="auto"/>
              <w:ind w:left="0" w:leftChars="0" w:right="0" w:rightChars="0"/>
              <w:jc w:val="both"/>
              <w:rPr>
                <w:rFonts w:hint="default"/>
                <w:sz w:val="30"/>
                <w:szCs w:val="30"/>
                <w:highlight w:val="none"/>
                <w:lang w:val="en-US" w:eastAsia="zh-CN"/>
              </w:rPr>
            </w:pPr>
            <w:r>
              <w:rPr>
                <w:rFonts w:hint="eastAsia"/>
                <w:sz w:val="30"/>
                <w:szCs w:val="30"/>
                <w:highlight w:val="none"/>
                <w:lang w:val="en-US" w:eastAsia="zh-CN"/>
              </w:rPr>
              <w:t>48kg（净重）</w:t>
            </w:r>
          </w:p>
        </w:tc>
        <w:tc>
          <w:tcPr>
            <w:tcW w:w="2889" w:type="dxa"/>
            <w:tcBorders>
              <w:right w:val="single" w:color="auto" w:sz="4" w:space="0"/>
            </w:tcBorders>
            <w:noWrap w:val="0"/>
            <w:vAlign w:val="center"/>
          </w:tcPr>
          <w:p w14:paraId="6166540D">
            <w:pPr>
              <w:spacing w:line="240" w:lineRule="auto"/>
              <w:ind w:left="0" w:leftChars="0" w:right="0" w:rightChars="0"/>
              <w:jc w:val="both"/>
              <w:rPr>
                <w:rFonts w:hint="eastAsia"/>
                <w:sz w:val="30"/>
                <w:szCs w:val="30"/>
                <w:highlight w:val="none"/>
                <w:lang w:val="en-US" w:eastAsia="zh-CN"/>
              </w:rPr>
            </w:pPr>
            <w:r>
              <w:rPr>
                <w:rFonts w:hint="eastAsia"/>
                <w:sz w:val="30"/>
                <w:szCs w:val="30"/>
                <w:highlight w:val="none"/>
                <w:lang w:val="en-US" w:eastAsia="zh-CN"/>
              </w:rPr>
              <w:t>约1200瓶</w:t>
            </w:r>
          </w:p>
        </w:tc>
        <w:tc>
          <w:tcPr>
            <w:tcW w:w="1997" w:type="dxa"/>
            <w:vMerge w:val="restart"/>
            <w:tcBorders>
              <w:top w:val="single" w:color="auto" w:sz="4" w:space="0"/>
              <w:left w:val="single" w:color="auto" w:sz="4" w:space="0"/>
              <w:right w:val="single" w:color="auto" w:sz="4" w:space="0"/>
            </w:tcBorders>
            <w:noWrap w:val="0"/>
            <w:vAlign w:val="center"/>
          </w:tcPr>
          <w:p w14:paraId="77997558">
            <w:pPr>
              <w:spacing w:line="240" w:lineRule="auto"/>
              <w:ind w:left="0" w:leftChars="0" w:right="0" w:rightChars="0"/>
              <w:jc w:val="both"/>
              <w:rPr>
                <w:rFonts w:hint="eastAsia"/>
                <w:sz w:val="30"/>
                <w:szCs w:val="30"/>
                <w:highlight w:val="none"/>
                <w:lang w:eastAsia="zh-CN"/>
              </w:rPr>
            </w:pPr>
          </w:p>
        </w:tc>
        <w:tc>
          <w:tcPr>
            <w:tcW w:w="3084" w:type="dxa"/>
            <w:vMerge w:val="restart"/>
            <w:tcBorders>
              <w:left w:val="single" w:color="auto" w:sz="4" w:space="0"/>
            </w:tcBorders>
            <w:noWrap w:val="0"/>
            <w:vAlign w:val="center"/>
          </w:tcPr>
          <w:p w14:paraId="2A4F037B">
            <w:pPr>
              <w:spacing w:line="240" w:lineRule="auto"/>
              <w:ind w:left="0" w:leftChars="0" w:right="0" w:rightChars="0"/>
              <w:jc w:val="both"/>
              <w:rPr>
                <w:rFonts w:hint="eastAsia"/>
                <w:sz w:val="30"/>
                <w:szCs w:val="30"/>
                <w:highlight w:val="none"/>
                <w:lang w:val="en-US" w:eastAsia="zh-CN"/>
              </w:rPr>
            </w:pPr>
          </w:p>
        </w:tc>
      </w:tr>
      <w:tr w14:paraId="2878F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8" w:hRule="exact"/>
          <w:jc w:val="center"/>
        </w:trPr>
        <w:tc>
          <w:tcPr>
            <w:tcW w:w="867" w:type="dxa"/>
            <w:noWrap w:val="0"/>
            <w:vAlign w:val="center"/>
          </w:tcPr>
          <w:p w14:paraId="46FFCF00">
            <w:pPr>
              <w:spacing w:line="240" w:lineRule="auto"/>
              <w:ind w:left="0" w:leftChars="0" w:right="0" w:rightChars="0"/>
              <w:jc w:val="center"/>
              <w:rPr>
                <w:rFonts w:hint="eastAsia"/>
                <w:sz w:val="30"/>
                <w:szCs w:val="30"/>
                <w:highlight w:val="none"/>
                <w:lang w:val="en-US" w:eastAsia="zh-CN"/>
              </w:rPr>
            </w:pPr>
            <w:r>
              <w:rPr>
                <w:sz w:val="30"/>
                <w:szCs w:val="30"/>
                <w:highlight w:val="none"/>
              </w:rPr>
              <w:t>2</w:t>
            </w:r>
          </w:p>
        </w:tc>
        <w:tc>
          <w:tcPr>
            <w:tcW w:w="3348" w:type="dxa"/>
            <w:noWrap w:val="0"/>
            <w:vAlign w:val="center"/>
          </w:tcPr>
          <w:p w14:paraId="62C81EA5">
            <w:pPr>
              <w:spacing w:line="240" w:lineRule="auto"/>
              <w:ind w:left="0" w:leftChars="0" w:right="0" w:rightChars="0"/>
              <w:jc w:val="both"/>
              <w:rPr>
                <w:rFonts w:hint="eastAsia"/>
                <w:sz w:val="30"/>
                <w:szCs w:val="30"/>
                <w:highlight w:val="none"/>
                <w:lang w:eastAsia="zh-CN"/>
              </w:rPr>
            </w:pPr>
            <w:r>
              <w:rPr>
                <w:sz w:val="30"/>
                <w:szCs w:val="30"/>
                <w:highlight w:val="none"/>
              </w:rPr>
              <w:t>工业丙烷采购及配送业务（</w:t>
            </w:r>
            <w:r>
              <w:rPr>
                <w:rFonts w:hint="eastAsia"/>
                <w:sz w:val="30"/>
                <w:szCs w:val="30"/>
                <w:highlight w:val="none"/>
                <w:lang w:val="en-US" w:eastAsia="zh-CN"/>
              </w:rPr>
              <w:t>大王山种鸡</w:t>
            </w:r>
            <w:r>
              <w:rPr>
                <w:sz w:val="30"/>
                <w:szCs w:val="30"/>
                <w:highlight w:val="none"/>
              </w:rPr>
              <w:t>场）</w:t>
            </w:r>
          </w:p>
        </w:tc>
        <w:tc>
          <w:tcPr>
            <w:tcW w:w="1723" w:type="dxa"/>
            <w:noWrap w:val="0"/>
            <w:vAlign w:val="center"/>
          </w:tcPr>
          <w:p w14:paraId="66FF253B">
            <w:pPr>
              <w:spacing w:line="240" w:lineRule="auto"/>
              <w:ind w:left="0" w:leftChars="0" w:right="0" w:rightChars="0"/>
              <w:jc w:val="both"/>
              <w:rPr>
                <w:rFonts w:hint="eastAsia"/>
                <w:sz w:val="30"/>
                <w:szCs w:val="30"/>
                <w:highlight w:val="none"/>
                <w:lang w:eastAsia="zh-CN"/>
              </w:rPr>
            </w:pPr>
            <w:r>
              <w:rPr>
                <w:rFonts w:hint="eastAsia"/>
                <w:sz w:val="30"/>
                <w:szCs w:val="30"/>
                <w:highlight w:val="none"/>
                <w:lang w:val="en-US" w:eastAsia="zh-CN"/>
              </w:rPr>
              <w:t>48</w:t>
            </w:r>
            <w:r>
              <w:rPr>
                <w:sz w:val="30"/>
                <w:szCs w:val="30"/>
                <w:highlight w:val="none"/>
              </w:rPr>
              <w:t>kg</w:t>
            </w:r>
            <w:r>
              <w:rPr>
                <w:rFonts w:hint="eastAsia"/>
                <w:sz w:val="30"/>
                <w:szCs w:val="30"/>
                <w:highlight w:val="none"/>
                <w:lang w:eastAsia="zh-CN"/>
              </w:rPr>
              <w:t>（</w:t>
            </w:r>
            <w:r>
              <w:rPr>
                <w:rFonts w:hint="eastAsia"/>
                <w:sz w:val="30"/>
                <w:szCs w:val="30"/>
                <w:highlight w:val="none"/>
                <w:lang w:val="en-US" w:eastAsia="zh-CN"/>
              </w:rPr>
              <w:t>净重</w:t>
            </w:r>
            <w:r>
              <w:rPr>
                <w:rFonts w:hint="eastAsia"/>
                <w:sz w:val="30"/>
                <w:szCs w:val="30"/>
                <w:highlight w:val="none"/>
                <w:lang w:eastAsia="zh-CN"/>
              </w:rPr>
              <w:t>）</w:t>
            </w:r>
          </w:p>
        </w:tc>
        <w:tc>
          <w:tcPr>
            <w:tcW w:w="2889" w:type="dxa"/>
            <w:tcBorders>
              <w:right w:val="single" w:color="auto" w:sz="4" w:space="0"/>
            </w:tcBorders>
            <w:noWrap w:val="0"/>
            <w:vAlign w:val="center"/>
          </w:tcPr>
          <w:p w14:paraId="4FF59262">
            <w:pPr>
              <w:spacing w:line="240" w:lineRule="auto"/>
              <w:ind w:left="0" w:leftChars="0" w:right="0" w:rightChars="0"/>
              <w:jc w:val="both"/>
              <w:rPr>
                <w:rFonts w:hint="eastAsia"/>
                <w:sz w:val="30"/>
                <w:szCs w:val="30"/>
                <w:highlight w:val="none"/>
                <w:lang w:val="en-US" w:eastAsia="zh-CN"/>
              </w:rPr>
            </w:pPr>
            <w:r>
              <w:rPr>
                <w:rFonts w:hint="eastAsia"/>
                <w:sz w:val="30"/>
                <w:szCs w:val="30"/>
                <w:highlight w:val="none"/>
                <w:lang w:val="en-US" w:eastAsia="zh-CN"/>
              </w:rPr>
              <w:t>约1800瓶</w:t>
            </w:r>
          </w:p>
        </w:tc>
        <w:tc>
          <w:tcPr>
            <w:tcW w:w="1997" w:type="dxa"/>
            <w:vMerge w:val="continue"/>
            <w:tcBorders>
              <w:left w:val="single" w:color="auto" w:sz="4" w:space="0"/>
              <w:bottom w:val="single" w:color="auto" w:sz="4" w:space="0"/>
              <w:right w:val="single" w:color="auto" w:sz="4" w:space="0"/>
            </w:tcBorders>
            <w:noWrap w:val="0"/>
            <w:vAlign w:val="center"/>
          </w:tcPr>
          <w:p w14:paraId="25D11618">
            <w:pPr>
              <w:spacing w:line="240" w:lineRule="auto"/>
              <w:ind w:left="0" w:leftChars="0" w:right="0" w:rightChars="0"/>
              <w:jc w:val="both"/>
              <w:rPr>
                <w:rFonts w:hint="eastAsia"/>
                <w:sz w:val="30"/>
                <w:szCs w:val="30"/>
                <w:highlight w:val="none"/>
                <w:lang w:eastAsia="zh-CN"/>
              </w:rPr>
            </w:pPr>
          </w:p>
        </w:tc>
        <w:tc>
          <w:tcPr>
            <w:tcW w:w="3084" w:type="dxa"/>
            <w:vMerge w:val="continue"/>
            <w:tcBorders>
              <w:left w:val="single" w:color="auto" w:sz="4" w:space="0"/>
            </w:tcBorders>
            <w:noWrap w:val="0"/>
            <w:vAlign w:val="center"/>
          </w:tcPr>
          <w:p w14:paraId="0AE01CBF">
            <w:pPr>
              <w:spacing w:line="240" w:lineRule="auto"/>
              <w:ind w:left="0" w:leftChars="0" w:right="0" w:rightChars="0"/>
              <w:jc w:val="both"/>
              <w:rPr>
                <w:rFonts w:hint="eastAsia"/>
                <w:sz w:val="30"/>
                <w:szCs w:val="30"/>
                <w:highlight w:val="none"/>
                <w:lang w:val="en-US" w:eastAsia="zh-CN"/>
              </w:rPr>
            </w:pPr>
          </w:p>
        </w:tc>
      </w:tr>
    </w:tbl>
    <w:p w14:paraId="2C50529C">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备注：开标一览表中的单价为最终投标价，结算按当月实际采购</w:t>
      </w:r>
      <w:r>
        <w:rPr>
          <w:rFonts w:hint="eastAsia" w:ascii="仿宋" w:hAnsi="仿宋" w:eastAsia="仿宋" w:cs="仿宋"/>
          <w:sz w:val="32"/>
          <w:szCs w:val="32"/>
          <w:highlight w:val="none"/>
          <w:lang w:val="en-US" w:eastAsia="zh-CN"/>
        </w:rPr>
        <w:t>数量</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瓶</w:t>
      </w:r>
      <w:r>
        <w:rPr>
          <w:rFonts w:hint="eastAsia" w:ascii="仿宋" w:hAnsi="仿宋" w:eastAsia="仿宋" w:cs="仿宋"/>
          <w:sz w:val="32"/>
          <w:szCs w:val="32"/>
          <w:highlight w:val="none"/>
        </w:rPr>
        <w:t>）×投标单价执行；</w:t>
      </w:r>
      <w:r>
        <w:rPr>
          <w:rFonts w:hint="eastAsia" w:ascii="仿宋" w:hAnsi="仿宋" w:eastAsia="仿宋" w:cs="仿宋"/>
          <w:sz w:val="32"/>
          <w:szCs w:val="32"/>
          <w:highlight w:val="none"/>
          <w:lang w:val="en-US" w:eastAsia="zh-CN"/>
        </w:rPr>
        <w:t>吴村</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大王山</w:t>
      </w:r>
      <w:r>
        <w:rPr>
          <w:rFonts w:hint="eastAsia" w:ascii="仿宋" w:hAnsi="仿宋" w:eastAsia="仿宋" w:cs="仿宋"/>
          <w:sz w:val="32"/>
          <w:szCs w:val="32"/>
          <w:highlight w:val="none"/>
        </w:rPr>
        <w:t>两个交货地点</w:t>
      </w:r>
      <w:r>
        <w:rPr>
          <w:rFonts w:hint="eastAsia" w:ascii="仿宋" w:hAnsi="仿宋" w:eastAsia="仿宋" w:cs="仿宋"/>
          <w:sz w:val="32"/>
          <w:szCs w:val="32"/>
          <w:highlight w:val="none"/>
          <w:lang w:val="en-US" w:eastAsia="zh-CN"/>
        </w:rPr>
        <w:t>综合</w:t>
      </w:r>
      <w:r>
        <w:rPr>
          <w:rFonts w:hint="eastAsia" w:ascii="仿宋" w:hAnsi="仿宋" w:eastAsia="仿宋" w:cs="仿宋"/>
          <w:sz w:val="32"/>
          <w:szCs w:val="32"/>
          <w:highlight w:val="none"/>
        </w:rPr>
        <w:t>报价的，按各地点实际采购净</w:t>
      </w:r>
      <w:r>
        <w:rPr>
          <w:rFonts w:hint="eastAsia" w:ascii="仿宋" w:hAnsi="仿宋" w:eastAsia="仿宋" w:cs="仿宋"/>
          <w:sz w:val="32"/>
          <w:szCs w:val="32"/>
          <w:highlight w:val="none"/>
          <w:lang w:val="en-US" w:eastAsia="zh-CN"/>
        </w:rPr>
        <w:t>量</w:t>
      </w:r>
      <w:r>
        <w:rPr>
          <w:rFonts w:hint="eastAsia" w:ascii="仿宋" w:hAnsi="仿宋" w:eastAsia="仿宋" w:cs="仿宋"/>
          <w:sz w:val="32"/>
          <w:szCs w:val="32"/>
          <w:highlight w:val="none"/>
        </w:rPr>
        <w:t>分别结算；若因变更造成采购量增减，按投标单价结算，不再另行调整。</w:t>
      </w:r>
    </w:p>
    <w:p w14:paraId="4C15B221">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说明：开标一览表中的“单价”应是本包内投标内容及相关服务的全部费用的报价，含丙烷货值、运输费、装卸费；气瓶押金单独列明，不计入货款。</w:t>
      </w:r>
    </w:p>
    <w:p w14:paraId="6334388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特别说明事项：</w:t>
      </w:r>
    </w:p>
    <w:p w14:paraId="6E0C3BEC">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投标人全称（公章）：</w:t>
      </w:r>
      <w:bookmarkStart w:id="17" w:name="_GoBack"/>
      <w:bookmarkEnd w:id="17"/>
    </w:p>
    <w:p w14:paraId="73C177A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法定代表人或授权的投标人代表签字：</w:t>
      </w:r>
    </w:p>
    <w:p w14:paraId="61C9657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sz w:val="32"/>
          <w:szCs w:val="32"/>
        </w:rPr>
      </w:pPr>
      <w:r>
        <w:rPr>
          <w:rFonts w:hint="eastAsia" w:ascii="仿宋" w:hAnsi="仿宋" w:eastAsia="仿宋" w:cs="仿宋"/>
          <w:sz w:val="32"/>
          <w:szCs w:val="32"/>
        </w:rPr>
        <w:t>日期：</w:t>
      </w:r>
    </w:p>
    <w:sectPr>
      <w:headerReference r:id="rId6" w:type="default"/>
      <w:footerReference r:id="rId7" w:type="default"/>
      <w:pgSz w:w="16840" w:h="11907" w:orient="landscape"/>
      <w:pgMar w:top="1089" w:right="1089" w:bottom="1134" w:left="1418" w:header="851" w:footer="992" w:gutter="0"/>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B2E14">
    <w:pPr>
      <w:pStyle w:val="10"/>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11</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9E980">
    <w:pPr>
      <w:pStyle w:val="10"/>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11</w:t>
    </w:r>
    <w:r>
      <w:rPr>
        <w:kern w:val="0"/>
        <w:szCs w:val="21"/>
      </w:rPr>
      <w:fldChar w:fldCharType="end"/>
    </w:r>
    <w:r>
      <w:rPr>
        <w:rFonts w:hint="eastAsia"/>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C586D">
    <w:pPr>
      <w:pStyle w:val="11"/>
      <w:ind w:left="2340" w:hanging="2340" w:hangingChars="1300"/>
      <w:jc w:val="left"/>
      <w:rPr>
        <w:rFonts w:hint="eastAsia"/>
        <w:sz w:val="24"/>
        <w:szCs w:val="24"/>
        <w:lang w:val="en-US" w:eastAsia="zh-CN"/>
      </w:rPr>
    </w:pPr>
    <w:r>
      <w:rPr>
        <w:rFonts w:hint="eastAsia"/>
        <w:sz w:val="18"/>
        <w:szCs w:val="18"/>
        <w:lang w:val="en-US" w:eastAsia="zh-CN"/>
      </w:rPr>
      <w:t>浙南鸡业公司工业丙烷采购业务招标文件                            项目编号：　znjy-11-01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4C89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961C">
    <w:pPr>
      <w:pStyle w:val="11"/>
      <w:ind w:left="2340" w:hanging="2340" w:hangingChars="1300"/>
      <w:jc w:val="left"/>
      <w:rPr>
        <w:rFonts w:hint="eastAsia"/>
        <w:sz w:val="24"/>
        <w:szCs w:val="24"/>
        <w:lang w:val="en-US" w:eastAsia="zh-CN"/>
      </w:rPr>
    </w:pPr>
    <w:r>
      <w:rPr>
        <w:rFonts w:hint="eastAsia"/>
        <w:sz w:val="18"/>
        <w:szCs w:val="18"/>
        <w:lang w:val="en-US" w:eastAsia="zh-CN"/>
      </w:rPr>
      <w:t>浙南鸡业公司工业丙烷采购业务招标文件                            项目编号：　znjy-11-01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45BF"/>
    <w:rsid w:val="00016D6B"/>
    <w:rsid w:val="00041311"/>
    <w:rsid w:val="000476A0"/>
    <w:rsid w:val="00054A18"/>
    <w:rsid w:val="00064156"/>
    <w:rsid w:val="0008363A"/>
    <w:rsid w:val="00090E04"/>
    <w:rsid w:val="000A0875"/>
    <w:rsid w:val="000A2E0C"/>
    <w:rsid w:val="000A6D70"/>
    <w:rsid w:val="000B01E8"/>
    <w:rsid w:val="000C3DA7"/>
    <w:rsid w:val="000F3327"/>
    <w:rsid w:val="000F5224"/>
    <w:rsid w:val="00117E2F"/>
    <w:rsid w:val="00121C8B"/>
    <w:rsid w:val="001226E6"/>
    <w:rsid w:val="001246A8"/>
    <w:rsid w:val="00142113"/>
    <w:rsid w:val="00143E15"/>
    <w:rsid w:val="00145F25"/>
    <w:rsid w:val="00154EDF"/>
    <w:rsid w:val="0016439B"/>
    <w:rsid w:val="001A1146"/>
    <w:rsid w:val="001C3782"/>
    <w:rsid w:val="001C7F50"/>
    <w:rsid w:val="00207C81"/>
    <w:rsid w:val="00214E57"/>
    <w:rsid w:val="002448F4"/>
    <w:rsid w:val="00252553"/>
    <w:rsid w:val="00271096"/>
    <w:rsid w:val="00273E84"/>
    <w:rsid w:val="002870B1"/>
    <w:rsid w:val="00295AAC"/>
    <w:rsid w:val="002C03F1"/>
    <w:rsid w:val="002C585A"/>
    <w:rsid w:val="002D0F6A"/>
    <w:rsid w:val="002D6336"/>
    <w:rsid w:val="002E3234"/>
    <w:rsid w:val="002E7052"/>
    <w:rsid w:val="002F4883"/>
    <w:rsid w:val="00317BD3"/>
    <w:rsid w:val="00327AF3"/>
    <w:rsid w:val="00356955"/>
    <w:rsid w:val="00361295"/>
    <w:rsid w:val="0039117B"/>
    <w:rsid w:val="003958CA"/>
    <w:rsid w:val="0039609C"/>
    <w:rsid w:val="00396FCF"/>
    <w:rsid w:val="003B3FAE"/>
    <w:rsid w:val="003C19FE"/>
    <w:rsid w:val="003C7AB1"/>
    <w:rsid w:val="003E0E3C"/>
    <w:rsid w:val="0042736E"/>
    <w:rsid w:val="0043537B"/>
    <w:rsid w:val="00450011"/>
    <w:rsid w:val="004569DF"/>
    <w:rsid w:val="0046053A"/>
    <w:rsid w:val="00462D06"/>
    <w:rsid w:val="00472621"/>
    <w:rsid w:val="00483A80"/>
    <w:rsid w:val="00486F77"/>
    <w:rsid w:val="00487F27"/>
    <w:rsid w:val="00495DC2"/>
    <w:rsid w:val="004C22DD"/>
    <w:rsid w:val="004E3261"/>
    <w:rsid w:val="004F3138"/>
    <w:rsid w:val="0050480F"/>
    <w:rsid w:val="005104E9"/>
    <w:rsid w:val="005261A1"/>
    <w:rsid w:val="00532978"/>
    <w:rsid w:val="0054350D"/>
    <w:rsid w:val="00555AFF"/>
    <w:rsid w:val="005561F2"/>
    <w:rsid w:val="005573F6"/>
    <w:rsid w:val="005708F2"/>
    <w:rsid w:val="0059485D"/>
    <w:rsid w:val="005A7633"/>
    <w:rsid w:val="005C1839"/>
    <w:rsid w:val="005D4F9B"/>
    <w:rsid w:val="005D7A79"/>
    <w:rsid w:val="006000C3"/>
    <w:rsid w:val="00601EC7"/>
    <w:rsid w:val="0062246D"/>
    <w:rsid w:val="0066795B"/>
    <w:rsid w:val="00671359"/>
    <w:rsid w:val="00673AF7"/>
    <w:rsid w:val="00691AED"/>
    <w:rsid w:val="006A003D"/>
    <w:rsid w:val="006D3A52"/>
    <w:rsid w:val="006F2FE9"/>
    <w:rsid w:val="00702CAB"/>
    <w:rsid w:val="007160BF"/>
    <w:rsid w:val="00723BB0"/>
    <w:rsid w:val="00736919"/>
    <w:rsid w:val="00761509"/>
    <w:rsid w:val="007712EC"/>
    <w:rsid w:val="007C125F"/>
    <w:rsid w:val="007E619D"/>
    <w:rsid w:val="007F06BB"/>
    <w:rsid w:val="00807E92"/>
    <w:rsid w:val="00821258"/>
    <w:rsid w:val="008377E3"/>
    <w:rsid w:val="008444F6"/>
    <w:rsid w:val="00844CE0"/>
    <w:rsid w:val="00846A97"/>
    <w:rsid w:val="008473E8"/>
    <w:rsid w:val="008512B1"/>
    <w:rsid w:val="0085286F"/>
    <w:rsid w:val="0085648E"/>
    <w:rsid w:val="00866EE5"/>
    <w:rsid w:val="00870A31"/>
    <w:rsid w:val="008A2BF9"/>
    <w:rsid w:val="008A72C3"/>
    <w:rsid w:val="008D7D75"/>
    <w:rsid w:val="008E1A3A"/>
    <w:rsid w:val="008E5046"/>
    <w:rsid w:val="009027AB"/>
    <w:rsid w:val="00915DD1"/>
    <w:rsid w:val="009425AD"/>
    <w:rsid w:val="00946FD9"/>
    <w:rsid w:val="00960C4C"/>
    <w:rsid w:val="00992D88"/>
    <w:rsid w:val="009A484F"/>
    <w:rsid w:val="009B0487"/>
    <w:rsid w:val="009B7F23"/>
    <w:rsid w:val="009F17D0"/>
    <w:rsid w:val="009F2670"/>
    <w:rsid w:val="00A05D41"/>
    <w:rsid w:val="00A3555C"/>
    <w:rsid w:val="00A60C96"/>
    <w:rsid w:val="00A619D1"/>
    <w:rsid w:val="00A77C25"/>
    <w:rsid w:val="00A77D2A"/>
    <w:rsid w:val="00A80895"/>
    <w:rsid w:val="00A82B08"/>
    <w:rsid w:val="00A87E57"/>
    <w:rsid w:val="00A90C73"/>
    <w:rsid w:val="00AB56F5"/>
    <w:rsid w:val="00AB5EE1"/>
    <w:rsid w:val="00AF1C84"/>
    <w:rsid w:val="00AF3D7C"/>
    <w:rsid w:val="00B17592"/>
    <w:rsid w:val="00B25644"/>
    <w:rsid w:val="00B31730"/>
    <w:rsid w:val="00B506E0"/>
    <w:rsid w:val="00B52690"/>
    <w:rsid w:val="00B73E12"/>
    <w:rsid w:val="00B743C8"/>
    <w:rsid w:val="00B93ED9"/>
    <w:rsid w:val="00BC32BE"/>
    <w:rsid w:val="00BD3455"/>
    <w:rsid w:val="00BF4788"/>
    <w:rsid w:val="00BF6E1C"/>
    <w:rsid w:val="00C17B54"/>
    <w:rsid w:val="00C4024A"/>
    <w:rsid w:val="00C436F8"/>
    <w:rsid w:val="00C63F6D"/>
    <w:rsid w:val="00C66BE8"/>
    <w:rsid w:val="00C8561E"/>
    <w:rsid w:val="00C87B4A"/>
    <w:rsid w:val="00C94388"/>
    <w:rsid w:val="00CA43E6"/>
    <w:rsid w:val="00CB0214"/>
    <w:rsid w:val="00CB7DD0"/>
    <w:rsid w:val="00CC0849"/>
    <w:rsid w:val="00CD4995"/>
    <w:rsid w:val="00CE469A"/>
    <w:rsid w:val="00CF3591"/>
    <w:rsid w:val="00D05AB3"/>
    <w:rsid w:val="00D1656A"/>
    <w:rsid w:val="00D3089B"/>
    <w:rsid w:val="00D37041"/>
    <w:rsid w:val="00D37313"/>
    <w:rsid w:val="00D40BEA"/>
    <w:rsid w:val="00D5480B"/>
    <w:rsid w:val="00D62E68"/>
    <w:rsid w:val="00D64E93"/>
    <w:rsid w:val="00D80FB3"/>
    <w:rsid w:val="00DA3E58"/>
    <w:rsid w:val="00DC70F2"/>
    <w:rsid w:val="00DE7E70"/>
    <w:rsid w:val="00DF0E28"/>
    <w:rsid w:val="00E07E99"/>
    <w:rsid w:val="00E20C27"/>
    <w:rsid w:val="00E31B05"/>
    <w:rsid w:val="00E3687F"/>
    <w:rsid w:val="00E46B93"/>
    <w:rsid w:val="00E47010"/>
    <w:rsid w:val="00E57871"/>
    <w:rsid w:val="00E61A6E"/>
    <w:rsid w:val="00E64A56"/>
    <w:rsid w:val="00E71F53"/>
    <w:rsid w:val="00E7792F"/>
    <w:rsid w:val="00E82394"/>
    <w:rsid w:val="00EA2E78"/>
    <w:rsid w:val="00EA75BE"/>
    <w:rsid w:val="00EC0482"/>
    <w:rsid w:val="00ED44DF"/>
    <w:rsid w:val="00EE42B1"/>
    <w:rsid w:val="00F06EBD"/>
    <w:rsid w:val="00F11E01"/>
    <w:rsid w:val="00F445CC"/>
    <w:rsid w:val="00F530BA"/>
    <w:rsid w:val="00F759F9"/>
    <w:rsid w:val="00F928A3"/>
    <w:rsid w:val="00FB315D"/>
    <w:rsid w:val="00FB546A"/>
    <w:rsid w:val="00FB6103"/>
    <w:rsid w:val="00FB6656"/>
    <w:rsid w:val="00FC16B8"/>
    <w:rsid w:val="00FC4A50"/>
    <w:rsid w:val="00FE5057"/>
    <w:rsid w:val="012957E7"/>
    <w:rsid w:val="0147731E"/>
    <w:rsid w:val="01487061"/>
    <w:rsid w:val="01AE15BA"/>
    <w:rsid w:val="021138F7"/>
    <w:rsid w:val="0230777A"/>
    <w:rsid w:val="029F67AD"/>
    <w:rsid w:val="02B923C1"/>
    <w:rsid w:val="02CD45C4"/>
    <w:rsid w:val="0306754E"/>
    <w:rsid w:val="03597303"/>
    <w:rsid w:val="038D51FF"/>
    <w:rsid w:val="03D469CD"/>
    <w:rsid w:val="04061BAD"/>
    <w:rsid w:val="040A2CF3"/>
    <w:rsid w:val="04EE6CE5"/>
    <w:rsid w:val="05143E2A"/>
    <w:rsid w:val="05635B72"/>
    <w:rsid w:val="05917228"/>
    <w:rsid w:val="05BA26FD"/>
    <w:rsid w:val="05F23A3F"/>
    <w:rsid w:val="06451DC1"/>
    <w:rsid w:val="064A5629"/>
    <w:rsid w:val="06EB0BBA"/>
    <w:rsid w:val="071655C4"/>
    <w:rsid w:val="073A1A51"/>
    <w:rsid w:val="077D73AB"/>
    <w:rsid w:val="07C6352B"/>
    <w:rsid w:val="08A6123D"/>
    <w:rsid w:val="08B26FAD"/>
    <w:rsid w:val="0904205A"/>
    <w:rsid w:val="09153A5B"/>
    <w:rsid w:val="09D9154D"/>
    <w:rsid w:val="0A09093F"/>
    <w:rsid w:val="0A36039E"/>
    <w:rsid w:val="0A3F2403"/>
    <w:rsid w:val="0A4F320E"/>
    <w:rsid w:val="0A860DF8"/>
    <w:rsid w:val="0A8C38FB"/>
    <w:rsid w:val="0AD10288"/>
    <w:rsid w:val="0AFE677F"/>
    <w:rsid w:val="0B5D2B9A"/>
    <w:rsid w:val="0BB35A1E"/>
    <w:rsid w:val="0BBC0D77"/>
    <w:rsid w:val="0BDD6B9A"/>
    <w:rsid w:val="0C4C20FB"/>
    <w:rsid w:val="0CC2416B"/>
    <w:rsid w:val="0CD77A21"/>
    <w:rsid w:val="0D004C93"/>
    <w:rsid w:val="0D4A602A"/>
    <w:rsid w:val="0E43570E"/>
    <w:rsid w:val="0E603C3C"/>
    <w:rsid w:val="0E6A6DFD"/>
    <w:rsid w:val="0ED2440E"/>
    <w:rsid w:val="0F08245A"/>
    <w:rsid w:val="0F4E1CE6"/>
    <w:rsid w:val="0F5C0C86"/>
    <w:rsid w:val="0F9718DF"/>
    <w:rsid w:val="0FBF4992"/>
    <w:rsid w:val="10096741"/>
    <w:rsid w:val="10DE0B9F"/>
    <w:rsid w:val="113D6875"/>
    <w:rsid w:val="11D706B9"/>
    <w:rsid w:val="12192F9A"/>
    <w:rsid w:val="122B52FE"/>
    <w:rsid w:val="127952CC"/>
    <w:rsid w:val="12E94AB2"/>
    <w:rsid w:val="133B1DE5"/>
    <w:rsid w:val="134358DA"/>
    <w:rsid w:val="13C5257B"/>
    <w:rsid w:val="13EB0BFA"/>
    <w:rsid w:val="13EC5E85"/>
    <w:rsid w:val="14107EB2"/>
    <w:rsid w:val="1464034B"/>
    <w:rsid w:val="146F6774"/>
    <w:rsid w:val="147B290A"/>
    <w:rsid w:val="1483202A"/>
    <w:rsid w:val="14D166A2"/>
    <w:rsid w:val="15066FC4"/>
    <w:rsid w:val="15317998"/>
    <w:rsid w:val="158338FD"/>
    <w:rsid w:val="15CE592F"/>
    <w:rsid w:val="16104199"/>
    <w:rsid w:val="16A45232"/>
    <w:rsid w:val="16CF3C4C"/>
    <w:rsid w:val="16F32AEA"/>
    <w:rsid w:val="170D692B"/>
    <w:rsid w:val="171323D2"/>
    <w:rsid w:val="173E4D36"/>
    <w:rsid w:val="17673EA1"/>
    <w:rsid w:val="176772C0"/>
    <w:rsid w:val="17C52D61"/>
    <w:rsid w:val="17E32F2D"/>
    <w:rsid w:val="181066D2"/>
    <w:rsid w:val="1814148E"/>
    <w:rsid w:val="181464FC"/>
    <w:rsid w:val="190178E2"/>
    <w:rsid w:val="19892176"/>
    <w:rsid w:val="19B81E1F"/>
    <w:rsid w:val="19BD117B"/>
    <w:rsid w:val="19F35707"/>
    <w:rsid w:val="1A3E0EA0"/>
    <w:rsid w:val="1AA17AB6"/>
    <w:rsid w:val="1B1A1185"/>
    <w:rsid w:val="1B342CB0"/>
    <w:rsid w:val="1B544CEF"/>
    <w:rsid w:val="1BF15446"/>
    <w:rsid w:val="1C273FEB"/>
    <w:rsid w:val="1CB072C2"/>
    <w:rsid w:val="1D94745E"/>
    <w:rsid w:val="1E031E14"/>
    <w:rsid w:val="1E414CF6"/>
    <w:rsid w:val="1E6D013F"/>
    <w:rsid w:val="1EE14925"/>
    <w:rsid w:val="1EF04B68"/>
    <w:rsid w:val="1F974F37"/>
    <w:rsid w:val="1FBA147B"/>
    <w:rsid w:val="202F3592"/>
    <w:rsid w:val="206813BF"/>
    <w:rsid w:val="20904B67"/>
    <w:rsid w:val="2096173F"/>
    <w:rsid w:val="21EB7868"/>
    <w:rsid w:val="22091B39"/>
    <w:rsid w:val="22E9024C"/>
    <w:rsid w:val="23496F3C"/>
    <w:rsid w:val="23627FFE"/>
    <w:rsid w:val="23A14683"/>
    <w:rsid w:val="23AC1251"/>
    <w:rsid w:val="23AF66EA"/>
    <w:rsid w:val="23B74D3F"/>
    <w:rsid w:val="23CC7961"/>
    <w:rsid w:val="23DD3EC8"/>
    <w:rsid w:val="243D47ED"/>
    <w:rsid w:val="244D0366"/>
    <w:rsid w:val="249F6EF1"/>
    <w:rsid w:val="2504136D"/>
    <w:rsid w:val="25312055"/>
    <w:rsid w:val="25EB42DB"/>
    <w:rsid w:val="25FE400E"/>
    <w:rsid w:val="275A3CCE"/>
    <w:rsid w:val="276A7A0A"/>
    <w:rsid w:val="277039F8"/>
    <w:rsid w:val="27A841D1"/>
    <w:rsid w:val="27C65A3C"/>
    <w:rsid w:val="282B3F32"/>
    <w:rsid w:val="283049E3"/>
    <w:rsid w:val="28A44F47"/>
    <w:rsid w:val="28B0179F"/>
    <w:rsid w:val="29143B49"/>
    <w:rsid w:val="29323FCF"/>
    <w:rsid w:val="29475CCC"/>
    <w:rsid w:val="294A756A"/>
    <w:rsid w:val="2969702C"/>
    <w:rsid w:val="297101B6"/>
    <w:rsid w:val="29FD638B"/>
    <w:rsid w:val="2A3D2C2B"/>
    <w:rsid w:val="2A5359F4"/>
    <w:rsid w:val="2A687A8D"/>
    <w:rsid w:val="2A944F41"/>
    <w:rsid w:val="2AE04B9C"/>
    <w:rsid w:val="2AEA63A2"/>
    <w:rsid w:val="2AF56E08"/>
    <w:rsid w:val="2B8A6344"/>
    <w:rsid w:val="2B92115A"/>
    <w:rsid w:val="2CC772ED"/>
    <w:rsid w:val="2CD864F9"/>
    <w:rsid w:val="2D24725F"/>
    <w:rsid w:val="2D2C3631"/>
    <w:rsid w:val="2D3E540E"/>
    <w:rsid w:val="2D4E383A"/>
    <w:rsid w:val="2D9A466E"/>
    <w:rsid w:val="2DC53663"/>
    <w:rsid w:val="2DE56612"/>
    <w:rsid w:val="2E34769A"/>
    <w:rsid w:val="2E382CB4"/>
    <w:rsid w:val="2E5A3DAC"/>
    <w:rsid w:val="2F754C15"/>
    <w:rsid w:val="2F7856C2"/>
    <w:rsid w:val="2FAF5AFB"/>
    <w:rsid w:val="302E5666"/>
    <w:rsid w:val="30823A8E"/>
    <w:rsid w:val="31480437"/>
    <w:rsid w:val="31C357D2"/>
    <w:rsid w:val="32186458"/>
    <w:rsid w:val="32430E49"/>
    <w:rsid w:val="32A34FB9"/>
    <w:rsid w:val="32D732F5"/>
    <w:rsid w:val="33353039"/>
    <w:rsid w:val="337C6050"/>
    <w:rsid w:val="33D068BE"/>
    <w:rsid w:val="356B72D1"/>
    <w:rsid w:val="357A11D7"/>
    <w:rsid w:val="358E4541"/>
    <w:rsid w:val="359A7184"/>
    <w:rsid w:val="35A95592"/>
    <w:rsid w:val="35F20D6E"/>
    <w:rsid w:val="36477D23"/>
    <w:rsid w:val="36A325DA"/>
    <w:rsid w:val="36F66F81"/>
    <w:rsid w:val="37677539"/>
    <w:rsid w:val="37870B12"/>
    <w:rsid w:val="37A24677"/>
    <w:rsid w:val="37A94182"/>
    <w:rsid w:val="384F7AED"/>
    <w:rsid w:val="38840262"/>
    <w:rsid w:val="38A11702"/>
    <w:rsid w:val="38C764E2"/>
    <w:rsid w:val="391D4354"/>
    <w:rsid w:val="39241B86"/>
    <w:rsid w:val="394A70F8"/>
    <w:rsid w:val="39717313"/>
    <w:rsid w:val="398742A5"/>
    <w:rsid w:val="3A1C460B"/>
    <w:rsid w:val="3A3F0ACB"/>
    <w:rsid w:val="3A5B15D7"/>
    <w:rsid w:val="3AD969A0"/>
    <w:rsid w:val="3B57573E"/>
    <w:rsid w:val="3B6D0DCE"/>
    <w:rsid w:val="3B934DA1"/>
    <w:rsid w:val="3BFA35D5"/>
    <w:rsid w:val="3C860462"/>
    <w:rsid w:val="3CD856CB"/>
    <w:rsid w:val="3D9077EA"/>
    <w:rsid w:val="3DBC690B"/>
    <w:rsid w:val="3DD17E74"/>
    <w:rsid w:val="3E04105B"/>
    <w:rsid w:val="3E0D6A22"/>
    <w:rsid w:val="3E4503AB"/>
    <w:rsid w:val="3E7762B4"/>
    <w:rsid w:val="3E985791"/>
    <w:rsid w:val="3EB72B54"/>
    <w:rsid w:val="3EC40E21"/>
    <w:rsid w:val="3EC51F29"/>
    <w:rsid w:val="3FE43E1D"/>
    <w:rsid w:val="3FF57CFB"/>
    <w:rsid w:val="4004001B"/>
    <w:rsid w:val="40C91D76"/>
    <w:rsid w:val="40F005A0"/>
    <w:rsid w:val="412A1D04"/>
    <w:rsid w:val="418E13AF"/>
    <w:rsid w:val="419F139E"/>
    <w:rsid w:val="41A178FC"/>
    <w:rsid w:val="41E56E16"/>
    <w:rsid w:val="41F42364"/>
    <w:rsid w:val="4286740D"/>
    <w:rsid w:val="42D53800"/>
    <w:rsid w:val="42E67EAC"/>
    <w:rsid w:val="433168FE"/>
    <w:rsid w:val="4359067E"/>
    <w:rsid w:val="436F75F2"/>
    <w:rsid w:val="43B65AD0"/>
    <w:rsid w:val="4444198E"/>
    <w:rsid w:val="453942C3"/>
    <w:rsid w:val="453F4898"/>
    <w:rsid w:val="45721392"/>
    <w:rsid w:val="45AB2CE7"/>
    <w:rsid w:val="45BB73CE"/>
    <w:rsid w:val="45C368CD"/>
    <w:rsid w:val="45F75F2C"/>
    <w:rsid w:val="460D2043"/>
    <w:rsid w:val="468E063F"/>
    <w:rsid w:val="47CC26A8"/>
    <w:rsid w:val="4830209E"/>
    <w:rsid w:val="487D096B"/>
    <w:rsid w:val="48825F81"/>
    <w:rsid w:val="48A233BB"/>
    <w:rsid w:val="49173BFC"/>
    <w:rsid w:val="491868E5"/>
    <w:rsid w:val="493315E6"/>
    <w:rsid w:val="493D72C5"/>
    <w:rsid w:val="494476DB"/>
    <w:rsid w:val="495B20BA"/>
    <w:rsid w:val="4ABD087D"/>
    <w:rsid w:val="4AFB201B"/>
    <w:rsid w:val="4B3F45FD"/>
    <w:rsid w:val="4BA40904"/>
    <w:rsid w:val="4BBC65F0"/>
    <w:rsid w:val="4C194E4E"/>
    <w:rsid w:val="4C1F75F6"/>
    <w:rsid w:val="4C52202A"/>
    <w:rsid w:val="4C600A4F"/>
    <w:rsid w:val="4CD22BF5"/>
    <w:rsid w:val="4D0C2FAE"/>
    <w:rsid w:val="4DAE5A6A"/>
    <w:rsid w:val="4DC1579E"/>
    <w:rsid w:val="4E510B5B"/>
    <w:rsid w:val="4E602845"/>
    <w:rsid w:val="4EEF0BC1"/>
    <w:rsid w:val="4F591AB2"/>
    <w:rsid w:val="4F884E1F"/>
    <w:rsid w:val="501114B6"/>
    <w:rsid w:val="501D1DFB"/>
    <w:rsid w:val="501E2A33"/>
    <w:rsid w:val="501F67AB"/>
    <w:rsid w:val="50A15412"/>
    <w:rsid w:val="50C16225"/>
    <w:rsid w:val="50CB6F0B"/>
    <w:rsid w:val="50D15CF8"/>
    <w:rsid w:val="50F042D5"/>
    <w:rsid w:val="51031C29"/>
    <w:rsid w:val="51453FF0"/>
    <w:rsid w:val="51C55868"/>
    <w:rsid w:val="51D10D94"/>
    <w:rsid w:val="52411A58"/>
    <w:rsid w:val="529B03E1"/>
    <w:rsid w:val="52BD43B6"/>
    <w:rsid w:val="53C102A5"/>
    <w:rsid w:val="53E621CE"/>
    <w:rsid w:val="54795D7C"/>
    <w:rsid w:val="54A84AE6"/>
    <w:rsid w:val="54C5056F"/>
    <w:rsid w:val="556A04C9"/>
    <w:rsid w:val="56701B0F"/>
    <w:rsid w:val="56FA587C"/>
    <w:rsid w:val="57F16EA7"/>
    <w:rsid w:val="58112E7E"/>
    <w:rsid w:val="58347AA8"/>
    <w:rsid w:val="584251F3"/>
    <w:rsid w:val="584A7B4C"/>
    <w:rsid w:val="585505FB"/>
    <w:rsid w:val="586E7511"/>
    <w:rsid w:val="58803766"/>
    <w:rsid w:val="58853B9C"/>
    <w:rsid w:val="58A25568"/>
    <w:rsid w:val="59DE442D"/>
    <w:rsid w:val="5A171CD8"/>
    <w:rsid w:val="5A186745"/>
    <w:rsid w:val="5A9604DB"/>
    <w:rsid w:val="5B465534"/>
    <w:rsid w:val="5B5678C6"/>
    <w:rsid w:val="5B7F498E"/>
    <w:rsid w:val="5BA1443A"/>
    <w:rsid w:val="5C2A2760"/>
    <w:rsid w:val="5C2E481C"/>
    <w:rsid w:val="5C33249F"/>
    <w:rsid w:val="5CD64696"/>
    <w:rsid w:val="5CED3EB9"/>
    <w:rsid w:val="5DB2158C"/>
    <w:rsid w:val="5DE828D3"/>
    <w:rsid w:val="5E1766C7"/>
    <w:rsid w:val="5E4044BD"/>
    <w:rsid w:val="5E4F2952"/>
    <w:rsid w:val="5E733997"/>
    <w:rsid w:val="5EC142A2"/>
    <w:rsid w:val="5EC7073A"/>
    <w:rsid w:val="5F2140AF"/>
    <w:rsid w:val="5F700DD2"/>
    <w:rsid w:val="5FB75EA6"/>
    <w:rsid w:val="5FE6358A"/>
    <w:rsid w:val="602E1FC8"/>
    <w:rsid w:val="605A333C"/>
    <w:rsid w:val="60B207D0"/>
    <w:rsid w:val="60B5441E"/>
    <w:rsid w:val="6199532D"/>
    <w:rsid w:val="61A92379"/>
    <w:rsid w:val="61FB0E26"/>
    <w:rsid w:val="61FF5E4C"/>
    <w:rsid w:val="620D6DAC"/>
    <w:rsid w:val="622F0AD0"/>
    <w:rsid w:val="626C3E43"/>
    <w:rsid w:val="62832BCA"/>
    <w:rsid w:val="628A21AA"/>
    <w:rsid w:val="63181564"/>
    <w:rsid w:val="631A1780"/>
    <w:rsid w:val="635C4896"/>
    <w:rsid w:val="643A7B26"/>
    <w:rsid w:val="64402581"/>
    <w:rsid w:val="647C3D75"/>
    <w:rsid w:val="64DA557F"/>
    <w:rsid w:val="64DB2291"/>
    <w:rsid w:val="656C5B97"/>
    <w:rsid w:val="659A2704"/>
    <w:rsid w:val="65D5549F"/>
    <w:rsid w:val="6608637D"/>
    <w:rsid w:val="66996527"/>
    <w:rsid w:val="66B07D8A"/>
    <w:rsid w:val="66CF1A12"/>
    <w:rsid w:val="674E19F8"/>
    <w:rsid w:val="6764095E"/>
    <w:rsid w:val="681B7685"/>
    <w:rsid w:val="688F6922"/>
    <w:rsid w:val="6894168D"/>
    <w:rsid w:val="68AD4B64"/>
    <w:rsid w:val="68C877E1"/>
    <w:rsid w:val="69346F3E"/>
    <w:rsid w:val="6934724E"/>
    <w:rsid w:val="693E016A"/>
    <w:rsid w:val="69981651"/>
    <w:rsid w:val="69C25ADC"/>
    <w:rsid w:val="6AAB5A92"/>
    <w:rsid w:val="6B013226"/>
    <w:rsid w:val="6B1217AC"/>
    <w:rsid w:val="6B3A61C2"/>
    <w:rsid w:val="6BBC14D4"/>
    <w:rsid w:val="6BF16DF6"/>
    <w:rsid w:val="6C07486C"/>
    <w:rsid w:val="6C124267"/>
    <w:rsid w:val="6C425D46"/>
    <w:rsid w:val="6C742D41"/>
    <w:rsid w:val="6C885295"/>
    <w:rsid w:val="6DAD1210"/>
    <w:rsid w:val="6DEE7A91"/>
    <w:rsid w:val="6EAB67D2"/>
    <w:rsid w:val="6F6E43EE"/>
    <w:rsid w:val="6F746756"/>
    <w:rsid w:val="6F935367"/>
    <w:rsid w:val="701632CF"/>
    <w:rsid w:val="705C03A5"/>
    <w:rsid w:val="70953151"/>
    <w:rsid w:val="70DC62C7"/>
    <w:rsid w:val="713B6F6B"/>
    <w:rsid w:val="71EB341D"/>
    <w:rsid w:val="72AB29F6"/>
    <w:rsid w:val="732857F3"/>
    <w:rsid w:val="73334198"/>
    <w:rsid w:val="73713301"/>
    <w:rsid w:val="737F07E5"/>
    <w:rsid w:val="73DE4104"/>
    <w:rsid w:val="7425369F"/>
    <w:rsid w:val="743D2527"/>
    <w:rsid w:val="74D568CA"/>
    <w:rsid w:val="74F34607"/>
    <w:rsid w:val="751F3A92"/>
    <w:rsid w:val="75330480"/>
    <w:rsid w:val="754509F8"/>
    <w:rsid w:val="757C3BD5"/>
    <w:rsid w:val="75A629FF"/>
    <w:rsid w:val="75F47083"/>
    <w:rsid w:val="760A0694"/>
    <w:rsid w:val="76E71522"/>
    <w:rsid w:val="77A401F6"/>
    <w:rsid w:val="77D5581E"/>
    <w:rsid w:val="786079EA"/>
    <w:rsid w:val="78E4643E"/>
    <w:rsid w:val="794B223C"/>
    <w:rsid w:val="796B0B40"/>
    <w:rsid w:val="79733540"/>
    <w:rsid w:val="79780C3B"/>
    <w:rsid w:val="79D42231"/>
    <w:rsid w:val="7A163492"/>
    <w:rsid w:val="7B5F1FCE"/>
    <w:rsid w:val="7B7A0BB6"/>
    <w:rsid w:val="7BC32D42"/>
    <w:rsid w:val="7BD66106"/>
    <w:rsid w:val="7BDD2119"/>
    <w:rsid w:val="7C2154D6"/>
    <w:rsid w:val="7C623299"/>
    <w:rsid w:val="7CF66FBF"/>
    <w:rsid w:val="7D625DA6"/>
    <w:rsid w:val="7D914CC0"/>
    <w:rsid w:val="7DEF55BE"/>
    <w:rsid w:val="7E176B90"/>
    <w:rsid w:val="7E294870"/>
    <w:rsid w:val="7E852570"/>
    <w:rsid w:val="7F052E8D"/>
    <w:rsid w:val="7F0935F5"/>
    <w:rsid w:val="7FAC3308"/>
    <w:rsid w:val="7FF9561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b/>
      <w:bCs/>
      <w:kern w:val="44"/>
      <w:sz w:val="44"/>
      <w:szCs w:val="44"/>
    </w:rPr>
  </w:style>
  <w:style w:type="character" w:default="1" w:styleId="19">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afterLines="0"/>
    </w:pPr>
  </w:style>
  <w:style w:type="paragraph" w:styleId="5">
    <w:name w:val="Body Text Indent"/>
    <w:basedOn w:val="1"/>
    <w:qFormat/>
    <w:uiPriority w:val="0"/>
    <w:pPr>
      <w:spacing w:line="360" w:lineRule="auto"/>
      <w:ind w:firstLine="420" w:firstLineChars="200"/>
    </w:pPr>
  </w:style>
  <w:style w:type="paragraph" w:styleId="6">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7">
    <w:name w:val="Date"/>
    <w:basedOn w:val="1"/>
    <w:next w:val="1"/>
    <w:qFormat/>
    <w:uiPriority w:val="0"/>
    <w:pPr>
      <w:ind w:left="100" w:leftChars="2500"/>
    </w:pPr>
    <w:rPr>
      <w:rFonts w:ascii="宋体" w:hAnsi="宋体"/>
      <w:sz w:val="28"/>
    </w:rPr>
  </w:style>
  <w:style w:type="paragraph" w:styleId="8">
    <w:name w:val="Body Text Indent 2"/>
    <w:basedOn w:val="1"/>
    <w:qFormat/>
    <w:uiPriority w:val="0"/>
    <w:pPr>
      <w:spacing w:after="120" w:afterLines="0" w:line="480" w:lineRule="auto"/>
      <w:ind w:left="420" w:leftChars="2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tabs>
        <w:tab w:val="right" w:leader="dot" w:pos="8296"/>
      </w:tabs>
      <w:spacing w:after="100" w:line="276" w:lineRule="auto"/>
      <w:jc w:val="center"/>
    </w:pPr>
    <w:rPr>
      <w:rFonts w:ascii="Calibri" w:hAnsi="Calibri" w:eastAsia="宋体" w:cs="Times New Roman"/>
      <w:kern w:val="0"/>
      <w:sz w:val="22"/>
      <w:szCs w:val="22"/>
    </w:rPr>
  </w:style>
  <w:style w:type="paragraph" w:styleId="13">
    <w:name w:val="Subtitle"/>
    <w:basedOn w:val="1"/>
    <w:next w:val="1"/>
    <w:link w:val="26"/>
    <w:qFormat/>
    <w:uiPriority w:val="0"/>
    <w:pPr>
      <w:spacing w:before="240" w:after="60" w:line="312" w:lineRule="auto"/>
      <w:jc w:val="center"/>
      <w:outlineLvl w:val="1"/>
    </w:pPr>
    <w:rPr>
      <w:rFonts w:ascii="Cambria" w:hAnsi="Cambria" w:cs="Times New Roman"/>
      <w:b/>
      <w:bCs/>
      <w:kern w:val="28"/>
      <w:sz w:val="32"/>
      <w:szCs w:val="32"/>
    </w:rPr>
  </w:style>
  <w:style w:type="paragraph" w:styleId="14">
    <w:name w:val="Body Text Indent 3"/>
    <w:basedOn w:val="1"/>
    <w:qFormat/>
    <w:uiPriority w:val="0"/>
    <w:pPr>
      <w:ind w:firstLine="359" w:firstLineChars="171"/>
    </w:pPr>
  </w:style>
  <w:style w:type="paragraph" w:styleId="15">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6">
    <w:name w:val="Title"/>
    <w:basedOn w:val="1"/>
    <w:next w:val="1"/>
    <w:link w:val="27"/>
    <w:qFormat/>
    <w:uiPriority w:val="0"/>
    <w:pPr>
      <w:spacing w:before="240" w:after="60"/>
      <w:jc w:val="center"/>
      <w:outlineLvl w:val="0"/>
    </w:pPr>
    <w:rPr>
      <w:rFonts w:ascii="Cambria" w:hAnsi="Cambria" w:cs="Times New Roman"/>
      <w:b/>
      <w:bCs/>
      <w:sz w:val="32"/>
      <w:szCs w:val="32"/>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bCs/>
    </w:rPr>
  </w:style>
  <w:style w:type="character" w:styleId="21">
    <w:name w:val="page number"/>
    <w:basedOn w:val="19"/>
    <w:qFormat/>
    <w:uiPriority w:val="0"/>
  </w:style>
  <w:style w:type="character" w:styleId="22">
    <w:name w:val="Emphasis"/>
    <w:qFormat/>
    <w:uiPriority w:val="0"/>
    <w:rPr>
      <w:i/>
      <w:iCs/>
    </w:rPr>
  </w:style>
  <w:style w:type="character" w:styleId="23">
    <w:name w:val="Hyperlink"/>
    <w:basedOn w:val="19"/>
    <w:unhideWhenUsed/>
    <w:qFormat/>
    <w:uiPriority w:val="99"/>
    <w:rPr>
      <w:color w:val="0000FF"/>
      <w:u w:val="single"/>
    </w:rPr>
  </w:style>
  <w:style w:type="character" w:styleId="24">
    <w:name w:val="annotation reference"/>
    <w:qFormat/>
    <w:uiPriority w:val="0"/>
    <w:rPr>
      <w:sz w:val="21"/>
      <w:szCs w:val="21"/>
    </w:rPr>
  </w:style>
  <w:style w:type="character" w:customStyle="1" w:styleId="25">
    <w:name w:val="标题 1 Char"/>
    <w:basedOn w:val="19"/>
    <w:link w:val="2"/>
    <w:qFormat/>
    <w:uiPriority w:val="0"/>
    <w:rPr>
      <w:b/>
      <w:bCs/>
      <w:kern w:val="44"/>
      <w:sz w:val="44"/>
      <w:szCs w:val="44"/>
    </w:rPr>
  </w:style>
  <w:style w:type="character" w:customStyle="1" w:styleId="26">
    <w:name w:val="副标题 Char"/>
    <w:basedOn w:val="19"/>
    <w:link w:val="13"/>
    <w:qFormat/>
    <w:uiPriority w:val="0"/>
    <w:rPr>
      <w:rFonts w:ascii="Cambria" w:hAnsi="Cambria" w:cs="Times New Roman"/>
      <w:b/>
      <w:bCs/>
      <w:kern w:val="28"/>
      <w:sz w:val="32"/>
      <w:szCs w:val="32"/>
    </w:rPr>
  </w:style>
  <w:style w:type="character" w:customStyle="1" w:styleId="27">
    <w:name w:val="标题 Char"/>
    <w:basedOn w:val="19"/>
    <w:link w:val="16"/>
    <w:qFormat/>
    <w:uiPriority w:val="0"/>
    <w:rPr>
      <w:rFonts w:ascii="Cambria" w:hAnsi="Cambria" w:cs="Times New Roman"/>
      <w:b/>
      <w:bCs/>
      <w:kern w:val="2"/>
      <w:sz w:val="32"/>
      <w:szCs w:val="32"/>
    </w:rPr>
  </w:style>
  <w:style w:type="character" w:customStyle="1" w:styleId="28">
    <w:name w:val="默认段落字体 Char"/>
    <w:qFormat/>
    <w:uiPriority w:val="0"/>
  </w:style>
  <w:style w:type="paragraph" w:customStyle="1" w:styleId="29">
    <w:name w:val="_Style 28"/>
    <w:basedOn w:val="2"/>
    <w:next w:val="1"/>
    <w:unhideWhenUsed/>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30">
    <w:name w:val="Char Char Char Char"/>
    <w:basedOn w:val="1"/>
    <w:qFormat/>
    <w:uiPriority w:val="0"/>
    <w:rPr>
      <w:sz w:val="24"/>
    </w:rPr>
  </w:style>
  <w:style w:type="paragraph" w:customStyle="1" w:styleId="31">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table" w:customStyle="1" w:styleId="3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wens</Company>
  <Pages>19</Pages>
  <Words>7943</Words>
  <Characters>8516</Characters>
  <Lines>45</Lines>
  <Paragraphs>12</Paragraphs>
  <TotalTime>169</TotalTime>
  <ScaleCrop>false</ScaleCrop>
  <LinksUpToDate>false</LinksUpToDate>
  <CharactersWithSpaces>8785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2016-02-17T02:58:00Z</dcterms:created>
  <dc:creator>倪进</dc:creator>
  <cp:lastModifiedBy>执着</cp:lastModifiedBy>
  <cp:lastPrinted>2025-12-30T07:02:00Z</cp:lastPrinted>
  <dcterms:modified xsi:type="dcterms:W3CDTF">2026-11-05T00:28:00Z</dcterms:modified>
  <dc:title>温氏科技园低层住宅B4型招标文件</dc:title>
  <cp:revision>139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B50C8C7671A64C24B7F1EF755DA68DD4_13</vt:lpwstr>
  </property>
  <property fmtid="{D5CDD505-2E9C-101B-9397-08002B2CF9AE}" pid="4" name="KSOTemplateDocerSaveRecord">
    <vt:lpwstr>eyJoZGlkIjoiNWM3NWZhNThhYTAxZGVlODhlNzFmMTViMWVkNGZhMGYiLCJ1c2VySWQiOiI0MDU0NzM0MTYifQ==</vt:lpwstr>
  </property>
</Properties>
</file>