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0EFED">
      <w:pPr>
        <w:jc w:val="center"/>
      </w:pPr>
      <w:bookmarkStart w:id="0" w:name="_GoBack"/>
      <w:r>
        <w:rPr>
          <w:rFonts w:ascii="黑体" w:hAnsi="黑体" w:eastAsia="黑体"/>
          <w:b/>
          <w:color w:val="C00000"/>
          <w:sz w:val="40"/>
        </w:rPr>
        <w:t>关于温氏供应商专享信用贷上线的通知</w:t>
      </w:r>
      <w:bookmarkEnd w:id="0"/>
    </w:p>
    <w:p w14:paraId="59E12456">
      <w:pPr>
        <w:rPr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各位供应商</w:t>
      </w:r>
      <w:r>
        <w:rPr>
          <w:rFonts w:hint="eastAsia"/>
          <w:b/>
          <w:bCs/>
          <w:sz w:val="28"/>
          <w:szCs w:val="28"/>
          <w:lang w:val="en-US" w:eastAsia="zh-CN"/>
        </w:rPr>
        <w:t>们</w:t>
      </w:r>
      <w:r>
        <w:rPr>
          <w:rFonts w:ascii="宋体" w:hAnsi="宋体" w:eastAsia="宋体"/>
          <w:sz w:val="28"/>
          <w:szCs w:val="28"/>
        </w:rPr>
        <w:t>：</w:t>
      </w:r>
    </w:p>
    <w:p w14:paraId="21B0FCF9">
      <w:pPr>
        <w:spacing w:line="360" w:lineRule="auto"/>
        <w:ind w:firstLine="562" w:firstLineChars="200"/>
      </w:pPr>
      <w:r>
        <w:rPr>
          <w:rFonts w:ascii="宋体" w:hAnsi="宋体" w:eastAsia="宋体"/>
          <w:b/>
          <w:bCs/>
          <w:sz w:val="28"/>
          <w:szCs w:val="28"/>
        </w:rPr>
        <w:t>招商银行温氏供应商专享信用贷现已上线，可</w:t>
      </w:r>
      <w:r>
        <w:rPr>
          <w:rFonts w:ascii="宋体" w:hAnsi="宋体" w:eastAsia="宋体"/>
          <w:b/>
          <w:bCs/>
          <w:sz w:val="28"/>
          <w:szCs w:val="28"/>
        </w:rPr>
      </w:r>
      <w:r>
        <w:rPr>
          <w:rFonts w:ascii="宋体" w:hAnsi="宋体" w:eastAsia="宋体"/>
          <w:b/>
          <w:bCs/>
          <w:sz w:val="28"/>
          <w:szCs w:val="28"/>
        </w:rPr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  <w:t>有效</w:t>
      </w:r>
      <w:r>
        <w:rPr>
          <w:rFonts w:ascii="宋体" w:hAnsi="宋体" w:eastAsia="宋体"/>
          <w:b/>
          <w:bCs/>
          <w:sz w:val="28"/>
          <w:szCs w:val="28"/>
        </w:rPr>
        <w:t>解决资金周转难题。该产品基于温氏集团与供应商的</w:t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  <w:t>历史</w:t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</w:r>
      <w:r>
        <w:rPr>
          <w:rFonts w:ascii="宋体" w:hAnsi="宋体" w:eastAsia="宋体"/>
          <w:b/>
          <w:bCs/>
          <w:sz w:val="28"/>
          <w:szCs w:val="28"/>
        </w:rPr>
        <w:t>合作关系，</w:t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  <w:t>结合</w:t>
      </w:r>
      <w:r>
        <w:rPr>
          <w:rFonts w:ascii="宋体" w:hAnsi="宋体" w:eastAsia="宋体"/>
          <w:b/>
          <w:bCs/>
          <w:spacing w:val="20"/>
          <w:testmai taged="1"/>
          <w:sz w:val="28"/>
          <w:szCs w:val="28"/>
        </w:rPr>
      </w:r>
      <w:r>
        <w:rPr>
          <w:rFonts w:ascii="宋体" w:hAnsi="宋体" w:eastAsia="宋体"/>
          <w:b/>
          <w:bCs/>
          <w:sz w:val="28"/>
          <w:szCs w:val="28"/>
        </w:rPr>
        <w:t>双方历史交易数据、供应商征信、纳税、工商等信息，由招商银行为供应商提供随借随还的纯线上授信融资服务</w:t>
      </w:r>
      <w:r>
        <w:rPr>
          <w:rFonts w:ascii="宋体" w:hAnsi="宋体" w:eastAsia="宋体"/>
          <w:b/>
          <w:bCs/>
          <w:sz w:val="24"/>
        </w:rPr>
        <w:t>。</w:t>
      </w:r>
    </w:p>
    <w:p w14:paraId="2D22B30F">
      <w:pPr>
        <w:jc w:val="left"/>
        <w:rPr>
          <w:sz w:val="28"/>
          <w:szCs w:val="28"/>
        </w:rPr>
      </w:pPr>
      <w:r>
        <w:rPr>
          <w:rFonts w:ascii="黑体" w:hAnsi="黑体" w:eastAsia="黑体"/>
          <w:b/>
          <w:color w:val="C00000"/>
          <w:sz w:val="28"/>
          <w:szCs w:val="28"/>
        </w:rPr>
        <w:t>一、产品特点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6"/>
        <w:gridCol w:w="2946"/>
        <w:gridCol w:w="2946"/>
      </w:tblGrid>
      <w:tr w14:paraId="0944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shd w:val="clear" w:color="auto" w:fill="FFF2F2"/>
            <w:vAlign w:val="center"/>
          </w:tcPr>
          <w:p w14:paraId="2943B00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color w:val="C00000"/>
                <w:sz w:val="28"/>
                <w:szCs w:val="28"/>
              </w:rPr>
              <w:t>纯信用 无抵押</w:t>
            </w:r>
          </w:p>
        </w:tc>
        <w:tc>
          <w:tcPr>
            <w:tcW w:w="2946" w:type="dxa"/>
            <w:shd w:val="clear" w:color="auto" w:fill="FFF2F2"/>
            <w:vAlign w:val="center"/>
          </w:tcPr>
          <w:p w14:paraId="242B89A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color w:val="C00000"/>
                <w:sz w:val="28"/>
                <w:szCs w:val="28"/>
              </w:rPr>
              <w:t>全流程线上办理</w:t>
            </w:r>
          </w:p>
        </w:tc>
        <w:tc>
          <w:tcPr>
            <w:tcW w:w="2946" w:type="dxa"/>
            <w:shd w:val="clear" w:color="auto" w:fill="FFF2F2"/>
            <w:vAlign w:val="center"/>
          </w:tcPr>
          <w:p w14:paraId="73F281FC">
            <w:pPr>
              <w:spacing w:after="0" w:line="240" w:lineRule="auto"/>
              <w:jc w:val="center"/>
              <w:rPr>
                <w:rFonts w:hint="eastAsia" w:eastAsia="黑体"/>
                <w:sz w:val="28"/>
                <w:szCs w:val="28"/>
                <w:lang w:val="en-US" w:eastAsia="zh-CN"/>
              </w:rPr>
            </w:pPr>
            <w:r>
              <w:rPr>
                <w:rFonts w:ascii="黑体" w:hAnsi="黑体" w:eastAsia="黑体"/>
                <w:b/>
                <w:color w:val="C00000"/>
                <w:sz w:val="28"/>
                <w:szCs w:val="28"/>
              </w:rPr>
              <w:t>期限</w:t>
            </w:r>
            <w:r>
              <w:rPr>
                <w:rFonts w:hint="eastAsia" w:ascii="黑体" w:hAnsi="黑体" w:eastAsia="黑体"/>
                <w:b/>
                <w:color w:val="C00000"/>
                <w:sz w:val="28"/>
                <w:szCs w:val="28"/>
                <w:lang w:val="en-US" w:eastAsia="zh-CN"/>
              </w:rPr>
              <w:t>长</w:t>
            </w:r>
          </w:p>
        </w:tc>
      </w:tr>
      <w:tr w14:paraId="07881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vAlign w:val="center"/>
          </w:tcPr>
          <w:p w14:paraId="0DC19C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额度高达</w:t>
            </w: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500万</w:t>
            </w:r>
          </w:p>
        </w:tc>
        <w:tc>
          <w:tcPr>
            <w:tcW w:w="2946" w:type="dxa"/>
            <w:vAlign w:val="center"/>
          </w:tcPr>
          <w:p w14:paraId="01F0AF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线上测额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="宋体" w:hAnsi="宋体" w:eastAsia="宋体"/>
                <w:sz w:val="28"/>
                <w:szCs w:val="28"/>
              </w:rPr>
              <w:t>线上放款</w:t>
            </w:r>
          </w:p>
        </w:tc>
        <w:tc>
          <w:tcPr>
            <w:tcW w:w="2946" w:type="dxa"/>
            <w:vAlign w:val="center"/>
          </w:tcPr>
          <w:p w14:paraId="6090A2D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单笔贷款长达1年</w:t>
            </w:r>
          </w:p>
        </w:tc>
      </w:tr>
    </w:tbl>
    <w:p w14:paraId="120127F6"/>
    <w:p w14:paraId="57A83B92">
      <w:pPr>
        <w:jc w:val="left"/>
      </w:pPr>
      <w:r>
        <w:rPr>
          <w:rFonts w:ascii="黑体" w:hAnsi="黑体" w:eastAsia="黑体"/>
          <w:b/>
          <w:color w:val="C00000"/>
          <w:sz w:val="28"/>
        </w:rPr>
        <w:t>二、产品要素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7349"/>
      </w:tblGrid>
      <w:tr w14:paraId="5F6FE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0" w:type="dxa"/>
            <w:shd w:val="clear" w:color="auto" w:fill="C00000"/>
            <w:vAlign w:val="center"/>
          </w:tcPr>
          <w:p w14:paraId="7882B8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color w:val="FFFFFF"/>
                <w:sz w:val="28"/>
                <w:szCs w:val="28"/>
              </w:rPr>
              <w:t>准入条件</w:t>
            </w:r>
          </w:p>
        </w:tc>
        <w:tc>
          <w:tcPr>
            <w:tcW w:w="7349" w:type="dxa"/>
            <w:vAlign w:val="center"/>
          </w:tcPr>
          <w:p w14:paraId="084254FF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与温氏合作满1年，合作稳定，征信良好，银行负债合理</w:t>
            </w:r>
          </w:p>
        </w:tc>
      </w:tr>
      <w:tr w14:paraId="5E420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0" w:type="dxa"/>
            <w:shd w:val="clear" w:color="auto" w:fill="C00000"/>
            <w:vAlign w:val="center"/>
          </w:tcPr>
          <w:p w14:paraId="46D39C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color w:val="FFFFFF"/>
                <w:sz w:val="28"/>
                <w:szCs w:val="28"/>
              </w:rPr>
              <w:t>贷款路径</w:t>
            </w:r>
          </w:p>
        </w:tc>
        <w:tc>
          <w:tcPr>
            <w:tcW w:w="7349" w:type="dxa"/>
            <w:vAlign w:val="center"/>
          </w:tcPr>
          <w:p w14:paraId="593FECB2">
            <w:pPr>
              <w:spacing w:after="0" w:line="240" w:lineRule="auto"/>
              <w:jc w:val="left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纯线上测额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="宋体" w:hAnsi="宋体" w:eastAsia="宋体"/>
                <w:sz w:val="28"/>
                <w:szCs w:val="28"/>
              </w:rPr>
              <w:t>自助提款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="宋体" w:hAnsi="宋体" w:eastAsia="宋体"/>
                <w:sz w:val="28"/>
                <w:szCs w:val="28"/>
              </w:rPr>
              <w:t>随借随还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</w:tc>
      </w:tr>
      <w:tr w14:paraId="1F368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0" w:type="dxa"/>
            <w:shd w:val="clear" w:color="auto" w:fill="C00000"/>
            <w:vAlign w:val="center"/>
          </w:tcPr>
          <w:p w14:paraId="2D05DD8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color w:val="FFFFFF"/>
                <w:sz w:val="28"/>
                <w:szCs w:val="28"/>
              </w:rPr>
              <w:t>还款方式</w:t>
            </w:r>
          </w:p>
        </w:tc>
        <w:tc>
          <w:tcPr>
            <w:tcW w:w="7349" w:type="dxa"/>
            <w:vAlign w:val="center"/>
          </w:tcPr>
          <w:p w14:paraId="3B35F17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6+M模式还款（前6个月每月付息，后6个月等额还本）</w:t>
            </w:r>
          </w:p>
        </w:tc>
      </w:tr>
    </w:tbl>
    <w:p w14:paraId="118B57F0"/>
    <w:p w14:paraId="1023BBE9">
      <w:pPr>
        <w:jc w:val="left"/>
      </w:pPr>
      <w:r>
        <w:rPr>
          <w:rFonts w:ascii="黑体" w:hAnsi="黑体" w:eastAsia="黑体"/>
          <w:b/>
          <w:color w:val="C00000"/>
          <w:sz w:val="28"/>
        </w:rPr>
        <w:t>三、办理流程</w:t>
      </w:r>
    </w:p>
    <w:tbl>
      <w:tblPr>
        <w:tblStyle w:val="32"/>
        <w:tblW w:w="9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558"/>
        <w:gridCol w:w="1329"/>
        <w:gridCol w:w="560"/>
        <w:gridCol w:w="1294"/>
        <w:gridCol w:w="404"/>
        <w:gridCol w:w="1725"/>
        <w:gridCol w:w="435"/>
        <w:gridCol w:w="1423"/>
      </w:tblGrid>
      <w:tr w14:paraId="1DA74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2" w:type="dxa"/>
            <w:shd w:val="clear" w:color="auto" w:fill="C00000"/>
            <w:vAlign w:val="center"/>
          </w:tcPr>
          <w:p w14:paraId="0B5C3AFF"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2"/>
              </w:rPr>
              <w:t>步骤1</w:t>
            </w:r>
            <w:r>
              <w:rPr>
                <w:rFonts w:ascii="黑体" w:hAnsi="黑体" w:eastAsia="黑体"/>
                <w:b/>
                <w:color w:val="FFFFFF"/>
                <w:sz w:val="22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招行一对一指导</w:t>
            </w:r>
            <w:r>
              <w:rPr>
                <w:rFonts w:hint="eastAsia"/>
                <w:color w:val="FFFFFF"/>
                <w:sz w:val="18"/>
                <w:lang w:eastAsia="zh-CN"/>
              </w:rPr>
              <w:t>，</w:t>
            </w:r>
            <w:r>
              <w:rPr>
                <w:rFonts w:ascii="宋体" w:hAnsi="宋体" w:eastAsia="宋体"/>
                <w:color w:val="FFFFFF"/>
                <w:sz w:val="18"/>
              </w:rPr>
              <w:t>完成线上申请、税务授权</w:t>
            </w:r>
          </w:p>
        </w:tc>
        <w:tc>
          <w:tcPr>
            <w:tcW w:w="558" w:type="dxa"/>
            <w:vAlign w:val="center"/>
          </w:tcPr>
          <w:p w14:paraId="54022256">
            <w:pPr>
              <w:jc w:val="center"/>
            </w:pPr>
            <w:r>
              <w:rPr>
                <w:b/>
                <w:color w:val="C00000"/>
                <w:sz w:val="32"/>
              </w:rPr>
              <w:t>→</w:t>
            </w:r>
          </w:p>
        </w:tc>
        <w:tc>
          <w:tcPr>
            <w:tcW w:w="1329" w:type="dxa"/>
            <w:shd w:val="clear" w:color="auto" w:fill="C00000"/>
            <w:vAlign w:val="center"/>
          </w:tcPr>
          <w:p w14:paraId="47ABA9BE"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2"/>
              </w:rPr>
              <w:t>步骤2</w:t>
            </w:r>
            <w:r>
              <w:rPr>
                <w:rFonts w:ascii="黑体" w:hAnsi="黑体" w:eastAsia="黑体"/>
                <w:b/>
                <w:color w:val="FFFFFF"/>
                <w:sz w:val="22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温氏提供数据</w:t>
            </w:r>
            <w:r>
              <w:rPr>
                <w:rFonts w:ascii="宋体" w:hAnsi="宋体" w:eastAsia="宋体"/>
                <w:color w:val="FFFFFF"/>
                <w:sz w:val="18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核定额度，招行</w:t>
            </w:r>
            <w:r>
              <w:rPr>
                <w:rFonts w:hint="eastAsia"/>
                <w:color w:val="FFFFFF"/>
                <w:sz w:val="18"/>
                <w:lang w:val="en-US" w:eastAsia="zh-CN"/>
              </w:rPr>
              <w:t>贷前</w:t>
            </w:r>
            <w:r>
              <w:rPr>
                <w:rFonts w:ascii="宋体" w:hAnsi="宋体" w:eastAsia="宋体"/>
                <w:color w:val="FFFFFF"/>
                <w:sz w:val="18"/>
              </w:rPr>
              <w:t>尽调</w:t>
            </w:r>
          </w:p>
        </w:tc>
        <w:tc>
          <w:tcPr>
            <w:tcW w:w="560" w:type="dxa"/>
            <w:vAlign w:val="center"/>
          </w:tcPr>
          <w:p w14:paraId="16CA3270">
            <w:pPr>
              <w:jc w:val="center"/>
            </w:pPr>
            <w:r>
              <w:rPr>
                <w:b/>
                <w:color w:val="C00000"/>
                <w:sz w:val="32"/>
              </w:rPr>
              <w:t>→</w:t>
            </w:r>
          </w:p>
        </w:tc>
        <w:tc>
          <w:tcPr>
            <w:tcW w:w="1294" w:type="dxa"/>
            <w:shd w:val="clear" w:color="auto" w:fill="C00000"/>
            <w:vAlign w:val="center"/>
          </w:tcPr>
          <w:p w14:paraId="4F0E0550"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2"/>
              </w:rPr>
              <w:t>步骤3</w:t>
            </w:r>
            <w:r>
              <w:rPr>
                <w:rFonts w:ascii="黑体" w:hAnsi="黑体" w:eastAsia="黑体"/>
                <w:b/>
                <w:color w:val="FFFFFF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b/>
                <w:color w:val="FFFFFF"/>
                <w:sz w:val="22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color w:val="FFFFFF"/>
                <w:sz w:val="18"/>
              </w:rPr>
              <w:t>系统审核</w:t>
            </w:r>
            <w:r>
              <w:rPr>
                <w:rFonts w:ascii="宋体" w:hAnsi="宋体" w:eastAsia="宋体"/>
                <w:color w:val="FFFFFF"/>
                <w:sz w:val="18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网签合同</w:t>
            </w:r>
          </w:p>
        </w:tc>
        <w:tc>
          <w:tcPr>
            <w:tcW w:w="404" w:type="dxa"/>
            <w:vAlign w:val="center"/>
          </w:tcPr>
          <w:p w14:paraId="5CF71B6E">
            <w:pPr>
              <w:jc w:val="center"/>
            </w:pPr>
            <w:r>
              <w:rPr>
                <w:b/>
                <w:color w:val="C00000"/>
                <w:sz w:val="32"/>
              </w:rPr>
              <w:t>→</w:t>
            </w:r>
          </w:p>
        </w:tc>
        <w:tc>
          <w:tcPr>
            <w:tcW w:w="1725" w:type="dxa"/>
            <w:shd w:val="clear" w:color="auto" w:fill="C00000"/>
            <w:vAlign w:val="center"/>
          </w:tcPr>
          <w:p w14:paraId="5A2F7ED2"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2"/>
              </w:rPr>
              <w:t>步骤4</w:t>
            </w:r>
            <w:r>
              <w:rPr>
                <w:rFonts w:ascii="黑体" w:hAnsi="黑体" w:eastAsia="黑体"/>
                <w:b/>
                <w:color w:val="FFFFFF"/>
                <w:sz w:val="22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开立招行对公账户</w:t>
            </w:r>
            <w:r>
              <w:rPr>
                <w:rFonts w:ascii="宋体" w:hAnsi="宋体" w:eastAsia="宋体"/>
                <w:color w:val="FFFFFF"/>
                <w:sz w:val="18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（已有则无需重复开）</w:t>
            </w:r>
          </w:p>
        </w:tc>
        <w:tc>
          <w:tcPr>
            <w:tcW w:w="435" w:type="dxa"/>
            <w:vAlign w:val="center"/>
          </w:tcPr>
          <w:p w14:paraId="3083651B">
            <w:pPr>
              <w:jc w:val="center"/>
            </w:pPr>
            <w:r>
              <w:rPr>
                <w:b/>
                <w:color w:val="C00000"/>
                <w:sz w:val="32"/>
              </w:rPr>
              <w:t>→</w:t>
            </w:r>
          </w:p>
        </w:tc>
        <w:tc>
          <w:tcPr>
            <w:tcW w:w="1423" w:type="dxa"/>
            <w:shd w:val="clear" w:color="auto" w:fill="C00000"/>
            <w:vAlign w:val="center"/>
          </w:tcPr>
          <w:p w14:paraId="0EC0C301"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2"/>
              </w:rPr>
              <w:t>步骤5</w:t>
            </w:r>
            <w:r>
              <w:rPr>
                <w:rFonts w:ascii="黑体" w:hAnsi="黑体" w:eastAsia="黑体"/>
                <w:b/>
                <w:color w:val="FFFFFF"/>
                <w:sz w:val="22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额度生效</w:t>
            </w:r>
            <w:r>
              <w:rPr>
                <w:rFonts w:ascii="宋体" w:hAnsi="宋体" w:eastAsia="宋体"/>
                <w:color w:val="FFFFFF"/>
                <w:sz w:val="18"/>
              </w:rPr>
              <w:br w:type="textWrapping"/>
            </w:r>
            <w:r>
              <w:rPr>
                <w:rFonts w:ascii="宋体" w:hAnsi="宋体" w:eastAsia="宋体"/>
                <w:color w:val="FFFFFF"/>
                <w:sz w:val="18"/>
              </w:rPr>
              <w:t>线上融资提款</w:t>
            </w:r>
          </w:p>
        </w:tc>
      </w:tr>
    </w:tbl>
    <w:p w14:paraId="0C32E6CB"/>
    <w:p w14:paraId="69F522D2">
      <w:pPr>
        <w:spacing w:line="360" w:lineRule="auto"/>
        <w:rPr>
          <w:rFonts w:ascii="宋体" w:hAnsi="宋体" w:eastAsia="宋体"/>
          <w:color w:val="646464"/>
          <w:sz w:val="21"/>
        </w:rPr>
      </w:pPr>
      <w:r>
        <w:rPr>
          <w:rFonts w:ascii="宋体" w:hAnsi="宋体" w:eastAsia="宋体"/>
          <w:b/>
          <w:bCs/>
          <w:color w:val="646464"/>
          <w:sz w:val="21"/>
        </w:rPr>
        <w:t>备注：申请温氏供应商专享信用贷将查询个人征信及企业征信，是否获批及具体金额、利率以系统审批为准</w:t>
      </w:r>
      <w:r>
        <w:rPr>
          <w:rFonts w:ascii="宋体" w:hAnsi="宋体" w:eastAsia="宋体"/>
          <w:color w:val="646464"/>
          <w:sz w:val="21"/>
        </w:rPr>
        <w:t>。</w:t>
      </w:r>
    </w:p>
    <w:p w14:paraId="1429DB20">
      <w:pPr>
        <w:spacing w:line="360" w:lineRule="auto"/>
        <w:rPr>
          <w:rFonts w:ascii="宋体" w:hAnsi="宋体" w:eastAsia="宋体"/>
          <w:color w:val="646464"/>
          <w:sz w:val="21"/>
        </w:rPr>
      </w:pPr>
    </w:p>
    <w:p w14:paraId="2F7FE73B">
      <w:pPr>
        <w:spacing w:line="360" w:lineRule="auto"/>
        <w:rPr>
          <w:rFonts w:ascii="宋体" w:hAnsi="宋体" w:eastAsia="宋体"/>
          <w:color w:val="646464"/>
          <w:sz w:val="21"/>
        </w:rPr>
      </w:pPr>
    </w:p>
    <w:p w14:paraId="41577AF8">
      <w:pPr>
        <w:spacing w:line="360" w:lineRule="auto"/>
        <w:rPr>
          <w:rFonts w:ascii="宋体" w:hAnsi="宋体" w:eastAsia="宋体"/>
          <w:color w:val="646464"/>
          <w:sz w:val="21"/>
        </w:rPr>
      </w:pPr>
    </w:p>
    <w:p w14:paraId="64FF44B5">
      <w:pPr>
        <w:jc w:val="left"/>
        <w:rPr>
          <w:rFonts w:hint="eastAsia" w:ascii="黑体" w:hAnsi="黑体" w:eastAsia="黑体"/>
          <w:b/>
          <w:sz w:val="28"/>
          <w:szCs w:val="28"/>
          <w:vertAlign w:val="baseline"/>
          <w:lang w:val="en-US" w:eastAsia="zh-CN"/>
        </w:rPr>
      </w:pPr>
      <w:r>
        <w:rPr>
          <w:rFonts w:ascii="黑体" w:hAnsi="黑体" w:eastAsia="黑体"/>
          <w:b/>
          <w:color w:val="C00000"/>
          <w:sz w:val="28"/>
        </w:rPr>
        <w:t>四、咨询方式</w:t>
      </w:r>
      <w:r>
        <w:rPr>
          <w:rFonts w:ascii="黑体" w:hAnsi="黑体" w:eastAsia="黑体"/>
          <w:b/>
          <w:color w:val="C00000"/>
          <w:sz w:val="28"/>
        </w:rPr>
        <w:br w:type="textWrapping"/>
      </w:r>
      <w:r>
        <w:rPr>
          <w:rFonts w:hint="eastAsia" w:ascii="黑体" w:hAnsi="黑体" w:eastAsia="黑体"/>
          <w:b/>
          <w:sz w:val="24"/>
          <w:lang w:val="en-US" w:eastAsia="zh-CN"/>
        </w:rPr>
        <w:t xml:space="preserve">       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527"/>
        <w:gridCol w:w="4527"/>
      </w:tblGrid>
      <w:tr w14:paraId="71E97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7" w:hRule="atLeast"/>
        </w:trPr>
        <w:tc>
          <w:tcPr>
            <w:tcW w:w="4527" w:type="dxa"/>
            <w:vAlign w:val="center"/>
          </w:tcPr>
          <w:p w14:paraId="5BC13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/>
                <w:b/>
                <w:sz w:val="28"/>
                <w:szCs w:val="28"/>
                <w:vertAlign w:val="baseline"/>
                <w:lang w:val="en-US" w:eastAsia="zh-CN"/>
              </w:rPr>
              <w:t>陈经理13450029797</w:t>
            </w:r>
          </w:p>
        </w:tc>
        <w:tc>
          <w:tcPr>
            <w:tcW w:w="4527" w:type="dxa"/>
            <w:vAlign w:val="center"/>
          </w:tcPr>
          <w:p w14:paraId="33B1D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  <w:vertAlign w:val="baseline"/>
                <w:lang w:val="en-US" w:eastAsia="zh-CN"/>
              </w:rPr>
              <w:t>王经理13649821978</w:t>
            </w:r>
          </w:p>
        </w:tc>
      </w:tr>
      <w:tr w14:paraId="2687B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527" w:type="dxa"/>
          </w:tcPr>
          <w:p w14:paraId="219DDE93">
            <w:pPr>
              <w:jc w:val="center"/>
              <w:rPr>
                <w:rFonts w:hint="eastAsia" w:ascii="黑体" w:hAnsi="黑体" w:eastAsia="黑体"/>
                <w:b/>
                <w:sz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009775" cy="1847850"/>
                  <wp:effectExtent l="0" t="0" r="9525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7" w:type="dxa"/>
          </w:tcPr>
          <w:p w14:paraId="52A439FB">
            <w:pPr>
              <w:jc w:val="center"/>
              <w:rPr>
                <w:rFonts w:hint="eastAsia" w:ascii="黑体" w:hAnsi="黑体" w:eastAsia="黑体"/>
                <w:b/>
                <w:sz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019300" cy="1765935"/>
                  <wp:effectExtent l="0" t="0" r="0" b="571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b="3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76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11A98">
      <w:pPr>
        <w:jc w:val="left"/>
      </w:pPr>
      <w:r>
        <w:rPr>
          <w:rFonts w:hint="eastAsia" w:ascii="黑体" w:hAnsi="黑体" w:eastAsia="黑体"/>
          <w:b/>
          <w:sz w:val="24"/>
          <w:lang w:val="en-US" w:eastAsia="zh-CN"/>
        </w:rPr>
        <w:t xml:space="preserve">                      </w:t>
      </w:r>
      <w:r>
        <w:rPr>
          <w:rFonts w:ascii="黑体" w:hAnsi="黑体" w:eastAsia="黑体"/>
          <w:b/>
          <w:sz w:val="24"/>
        </w:rPr>
        <w:br w:type="textWrapping"/>
      </w:r>
    </w:p>
    <w:p w14:paraId="2F0EAA33">
      <w:pPr>
        <w:jc w:val="right"/>
      </w:pPr>
    </w:p>
    <w:sectPr>
      <w:pgSz w:w="12240" w:h="15840"/>
      <w:pgMar w:top="1417" w:right="1701" w:bottom="1417" w:left="1701" w:header="567" w:footer="62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F50D07"/>
    <w:rsid w:val="52362429"/>
    <w:rsid w:val="6FBB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435</Words>
  <Characters>464</Characters>
  <Lines>0</Lines>
  <Paragraphs>0</Paragraphs>
  <TotalTime>25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企业用户_307726497</cp:lastModifiedBy>
  <dcterms:modified xsi:type="dcterms:W3CDTF">2026-10-23T02:14:29Z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eyJoZGlkIjoiOWFjN2Y5MGQzYTEyMjNkZDBiYWFjZmM0NzQ2YTRmYTQiLCJ1c2VySWQiOiIxNzc4ODk4NzIwIn0=</vt:lpwstr>
  </property>
  <property fmtid="{D5CDD505-2E9C-101B-9397-08002B2CF9AE}" pid="3" name="KSOProductBuildVer">
    <vt:lpwstr>2052-12.1.0.28505</vt:lpwstr>
  </property>
  <property fmtid="{D5CDD505-2E9C-101B-9397-08002B2CF9AE}" pid="4" name="ICV">
    <vt:lpwstr>9D8F005CB0E649D89B6E4D311411DA85_13</vt:lpwstr>
  </property>
</Properties>
</file>