
<file path=[Content_Types].xml><?xml version="1.0" encoding="utf-8"?>
<Types xmlns="http://schemas.openxmlformats.org/package/2006/content-types">
  <Default Extension="xml" ContentType="application/xml"/>
  <Default Extension="gif" ContentType="image/gi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1ADBB">
      <w:pPr>
        <w:pStyle w:val="2"/>
        <w:spacing w:line="1262" w:lineRule="exact"/>
        <w:ind w:left="0" w:leftChars="0" w:firstLine="0" w:firstLineChars="0"/>
        <w:jc w:val="both"/>
      </w:pPr>
      <w:r>
        <w:rPr>
          <w:rFonts w:hint="eastAsia" w:eastAsia="宋体"/>
          <w:lang w:val="en-US" w:eastAsia="zh-CN"/>
        </w:rPr>
        <w:t xml:space="preserve">                        </w:t>
      </w:r>
      <w:r>
        <w:drawing>
          <wp:inline distT="0" distB="0" distL="114300" distR="114300">
            <wp:extent cx="646430" cy="431800"/>
            <wp:effectExtent l="0" t="0" r="1270" b="635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46430" cy="431800"/>
                    </a:xfrm>
                    <a:prstGeom prst="rect">
                      <a:avLst/>
                    </a:prstGeom>
                  </pic:spPr>
                </pic:pic>
              </a:graphicData>
            </a:graphic>
          </wp:inline>
        </w:drawing>
      </w:r>
    </w:p>
    <w:p w14:paraId="4A212690">
      <w:pPr>
        <w:pStyle w:val="2"/>
        <w:spacing w:line="1262" w:lineRule="exact"/>
        <w:ind w:firstLine="1041" w:firstLineChars="200"/>
        <w:jc w:val="left"/>
        <w:rPr>
          <w:sz w:val="52"/>
          <w:szCs w:val="52"/>
        </w:rPr>
      </w:pPr>
      <w:r>
        <w:rPr>
          <w:sz w:val="52"/>
          <w:szCs w:val="52"/>
        </w:rPr>
        <w:t>温氏食品集团股份有限公司</w:t>
      </w:r>
    </w:p>
    <w:p w14:paraId="5294814E">
      <w:pPr>
        <w:pStyle w:val="6"/>
        <w:spacing w:before="16"/>
        <w:ind w:left="0"/>
        <w:rPr>
          <w:rFonts w:ascii="Microsoft JhengHei"/>
          <w:b/>
          <w:sz w:val="105"/>
        </w:rPr>
      </w:pPr>
    </w:p>
    <w:p w14:paraId="55ED678F">
      <w:pPr>
        <w:spacing w:before="0"/>
        <w:ind w:left="3732" w:right="3438" w:firstLine="0"/>
        <w:jc w:val="center"/>
        <w:rPr>
          <w:rFonts w:hint="eastAsia" w:ascii="Microsoft JhengHei" w:eastAsia="Microsoft JhengHei"/>
          <w:b/>
          <w:sz w:val="52"/>
          <w:szCs w:val="52"/>
        </w:rPr>
      </w:pPr>
      <w:r>
        <w:rPr>
          <w:rFonts w:hint="eastAsia" w:ascii="Microsoft JhengHei" w:eastAsia="Microsoft JhengHei"/>
          <w:b/>
          <w:sz w:val="52"/>
          <w:szCs w:val="52"/>
        </w:rPr>
        <w:t>招</w:t>
      </w:r>
    </w:p>
    <w:p w14:paraId="4DF58C83">
      <w:pPr>
        <w:spacing w:before="0"/>
        <w:ind w:left="3732" w:right="3438" w:firstLine="0"/>
        <w:jc w:val="center"/>
        <w:rPr>
          <w:rFonts w:hint="eastAsia" w:ascii="Microsoft JhengHei" w:eastAsia="Microsoft JhengHei"/>
          <w:b/>
          <w:sz w:val="52"/>
          <w:szCs w:val="52"/>
        </w:rPr>
      </w:pPr>
      <w:r>
        <w:rPr>
          <w:rFonts w:hint="eastAsia" w:ascii="Microsoft JhengHei" w:eastAsia="Microsoft JhengHei"/>
          <w:b/>
          <w:sz w:val="52"/>
          <w:szCs w:val="52"/>
        </w:rPr>
        <w:t>标</w:t>
      </w:r>
    </w:p>
    <w:p w14:paraId="4CB6EE05">
      <w:pPr>
        <w:spacing w:before="0"/>
        <w:ind w:left="3732" w:right="3438" w:firstLine="0"/>
        <w:jc w:val="center"/>
        <w:rPr>
          <w:rFonts w:hint="eastAsia" w:ascii="Microsoft JhengHei" w:eastAsia="Microsoft JhengHei"/>
          <w:b/>
          <w:sz w:val="52"/>
          <w:szCs w:val="52"/>
        </w:rPr>
      </w:pPr>
      <w:r>
        <w:rPr>
          <w:rFonts w:hint="eastAsia" w:ascii="Microsoft JhengHei" w:eastAsia="Microsoft JhengHei"/>
          <w:b/>
          <w:sz w:val="52"/>
          <w:szCs w:val="52"/>
        </w:rPr>
        <w:t>文</w:t>
      </w:r>
    </w:p>
    <w:p w14:paraId="4BF8FBD5">
      <w:pPr>
        <w:spacing w:before="0"/>
        <w:ind w:left="3732" w:right="3438" w:firstLine="0"/>
        <w:jc w:val="center"/>
        <w:rPr>
          <w:rFonts w:hint="eastAsia" w:ascii="Microsoft JhengHei" w:eastAsia="Microsoft JhengHei"/>
          <w:b/>
          <w:sz w:val="52"/>
          <w:szCs w:val="52"/>
        </w:rPr>
      </w:pPr>
      <w:r>
        <w:rPr>
          <w:rFonts w:hint="eastAsia" w:ascii="Microsoft JhengHei" w:eastAsia="Microsoft JhengHei"/>
          <w:b/>
          <w:sz w:val="52"/>
          <w:szCs w:val="52"/>
        </w:rPr>
        <w:t>件</w:t>
      </w:r>
    </w:p>
    <w:p w14:paraId="12F6A760">
      <w:pPr>
        <w:spacing w:before="0"/>
        <w:ind w:left="3732" w:right="3438" w:firstLine="0"/>
        <w:jc w:val="center"/>
        <w:rPr>
          <w:rFonts w:hint="eastAsia" w:ascii="Microsoft JhengHei" w:eastAsia="Microsoft JhengHei"/>
          <w:b/>
          <w:sz w:val="52"/>
          <w:szCs w:val="52"/>
        </w:rPr>
      </w:pPr>
    </w:p>
    <w:p w14:paraId="7793A85F">
      <w:pPr>
        <w:spacing w:before="0"/>
        <w:ind w:left="3732" w:right="3438" w:firstLine="0"/>
        <w:jc w:val="center"/>
        <w:rPr>
          <w:rFonts w:hint="eastAsia" w:ascii="Microsoft JhengHei" w:eastAsia="Microsoft JhengHei"/>
          <w:b/>
          <w:sz w:val="52"/>
          <w:szCs w:val="52"/>
        </w:rPr>
      </w:pPr>
    </w:p>
    <w:p w14:paraId="40823265">
      <w:pPr>
        <w:spacing w:before="0"/>
        <w:ind w:left="3732" w:right="3438" w:firstLine="0"/>
        <w:jc w:val="center"/>
        <w:rPr>
          <w:rFonts w:hint="default" w:ascii="Times New Roman" w:hAnsi="Times New Roman" w:eastAsia="Microsoft JhengHei" w:cs="Times New Roman"/>
          <w:b/>
          <w:sz w:val="52"/>
          <w:szCs w:val="52"/>
        </w:rPr>
      </w:pPr>
    </w:p>
    <w:p w14:paraId="2BE6BB3E">
      <w:pPr>
        <w:widowControl w:val="0"/>
        <w:autoSpaceDE w:val="0"/>
        <w:autoSpaceDN w:val="0"/>
        <w:spacing w:line="332" w:lineRule="exact"/>
        <w:rPr>
          <w:rFonts w:hint="default" w:ascii="Times New Roman" w:hAnsi="Times New Roman" w:cs="Times New Roman"/>
          <w:color w:val="000000"/>
          <w:sz w:val="32"/>
          <w:szCs w:val="22"/>
          <w:lang w:val="en-US" w:eastAsia="en-US" w:bidi="ar-SA"/>
        </w:rPr>
      </w:pPr>
      <w:r>
        <w:rPr>
          <w:rFonts w:hint="default" w:ascii="Times New Roman" w:hAnsi="Times New Roman" w:cs="Times New Roman"/>
          <w:color w:val="000000"/>
          <w:sz w:val="32"/>
          <w:szCs w:val="22"/>
          <w:lang w:val="en-US" w:eastAsia="en-US" w:bidi="ar-SA"/>
        </w:rPr>
        <w:t>招标项目名称：江门猪业公司下属猪场无种用价值猪只运输业务</w:t>
      </w:r>
    </w:p>
    <w:p w14:paraId="0353F76A">
      <w:pPr>
        <w:widowControl w:val="0"/>
        <w:autoSpaceDE w:val="0"/>
        <w:autoSpaceDN w:val="0"/>
        <w:spacing w:line="332" w:lineRule="exact"/>
        <w:rPr>
          <w:rFonts w:hint="default" w:ascii="Times New Roman" w:hAnsi="Times New Roman" w:cs="Times New Roman"/>
          <w:color w:val="000000"/>
          <w:sz w:val="32"/>
          <w:szCs w:val="22"/>
          <w:lang w:val="en-US" w:eastAsia="zh-CN" w:bidi="ar-SA"/>
        </w:rPr>
      </w:pPr>
    </w:p>
    <w:p w14:paraId="6936887B">
      <w:pPr>
        <w:widowControl w:val="0"/>
        <w:autoSpaceDE w:val="0"/>
        <w:autoSpaceDN w:val="0"/>
        <w:spacing w:line="332" w:lineRule="exact"/>
        <w:rPr>
          <w:rFonts w:hint="default" w:ascii="Times New Roman" w:hAnsi="Times New Roman" w:eastAsia="宋体" w:cs="Times New Roman"/>
          <w:color w:val="000000"/>
          <w:sz w:val="32"/>
          <w:szCs w:val="22"/>
          <w:lang w:val="en-US" w:eastAsia="zh-CN" w:bidi="ar-SA"/>
        </w:rPr>
      </w:pPr>
      <w:r>
        <w:rPr>
          <w:rFonts w:hint="default" w:ascii="Times New Roman" w:hAnsi="Times New Roman" w:cs="Times New Roman"/>
          <w:color w:val="000000"/>
          <w:sz w:val="32"/>
          <w:szCs w:val="22"/>
          <w:lang w:val="en-US" w:eastAsia="zh-CN" w:bidi="ar-SA"/>
        </w:rPr>
        <w:t>招标人：开平市温氏畜牧有限公司</w:t>
      </w:r>
    </w:p>
    <w:p w14:paraId="6947B7D7">
      <w:pPr>
        <w:widowControl w:val="0"/>
        <w:autoSpaceDE w:val="0"/>
        <w:autoSpaceDN w:val="0"/>
        <w:spacing w:line="332" w:lineRule="exact"/>
        <w:rPr>
          <w:rFonts w:hint="eastAsia" w:ascii="仿宋" w:hAnsi="仿宋" w:eastAsia="宋体" w:cs="仿宋"/>
          <w:color w:val="000000"/>
          <w:sz w:val="32"/>
          <w:szCs w:val="22"/>
          <w:lang w:val="en-US" w:eastAsia="zh-CN" w:bidi="ar-SA"/>
        </w:rPr>
      </w:pPr>
    </w:p>
    <w:p w14:paraId="36DE16ED">
      <w:pPr>
        <w:widowControl w:val="0"/>
        <w:autoSpaceDE w:val="0"/>
        <w:autoSpaceDN w:val="0"/>
        <w:spacing w:line="332" w:lineRule="exact"/>
        <w:rPr>
          <w:rFonts w:hint="default" w:ascii="仿宋" w:hAnsi="仿宋" w:cs="仿宋"/>
          <w:color w:val="000000"/>
          <w:sz w:val="32"/>
          <w:szCs w:val="22"/>
          <w:lang w:val="en-US" w:eastAsia="en-US" w:bidi="ar-SA"/>
        </w:rPr>
      </w:pPr>
      <w:r>
        <w:rPr>
          <w:rFonts w:ascii="仿宋" w:hAnsi="仿宋" w:cs="仿宋"/>
          <w:color w:val="000000"/>
          <w:sz w:val="32"/>
          <w:szCs w:val="22"/>
          <w:lang w:val="en-US" w:eastAsia="en-US" w:bidi="ar-SA"/>
        </w:rPr>
        <w:t>招标组织单位：</w:t>
      </w:r>
      <w:r>
        <w:rPr>
          <w:rFonts w:hint="eastAsia" w:ascii="仿宋" w:hAnsi="仿宋" w:cs="仿宋"/>
          <w:color w:val="000000"/>
          <w:sz w:val="32"/>
          <w:szCs w:val="22"/>
          <w:lang w:val="en-US" w:eastAsia="en-US" w:bidi="ar-SA"/>
        </w:rPr>
        <w:t>开平市温氏畜牧有限公司</w:t>
      </w:r>
    </w:p>
    <w:p w14:paraId="0AB5AE2F">
      <w:pPr>
        <w:widowControl w:val="0"/>
        <w:autoSpaceDE w:val="0"/>
        <w:autoSpaceDN w:val="0"/>
        <w:spacing w:line="319" w:lineRule="exact"/>
        <w:rPr>
          <w:rFonts w:ascii="仿宋" w:hAnsi="仿宋" w:cs="仿宋"/>
          <w:color w:val="000000"/>
          <w:sz w:val="32"/>
          <w:szCs w:val="22"/>
          <w:lang w:val="en-US" w:eastAsia="en-US" w:bidi="ar-SA"/>
        </w:rPr>
      </w:pPr>
    </w:p>
    <w:p w14:paraId="4FF18FE3">
      <w:pPr>
        <w:widowControl w:val="0"/>
        <w:autoSpaceDE w:val="0"/>
        <w:autoSpaceDN w:val="0"/>
        <w:spacing w:line="332" w:lineRule="exact"/>
        <w:rPr>
          <w:rFonts w:hint="default" w:ascii="Times New Roman" w:hAnsi="Times New Roman" w:eastAsia="宋体" w:cs="Times New Roman"/>
          <w:color w:val="000000"/>
          <w:sz w:val="32"/>
          <w:szCs w:val="22"/>
          <w:highlight w:val="none"/>
          <w:lang w:val="en-US" w:eastAsia="zh-CN" w:bidi="ar-SA"/>
        </w:rPr>
      </w:pPr>
      <w:r>
        <w:rPr>
          <w:rFonts w:ascii="仿宋" w:hAnsi="仿宋" w:cs="仿宋"/>
          <w:color w:val="000000"/>
          <w:sz w:val="32"/>
          <w:szCs w:val="22"/>
          <w:lang w:val="en-US" w:eastAsia="en-US" w:bidi="ar-SA"/>
        </w:rPr>
        <w:t>招标编号：</w:t>
      </w:r>
      <w:r>
        <w:rPr>
          <w:rFonts w:ascii="仿宋" w:hAnsi="仿宋" w:cs="仿宋"/>
          <w:color w:val="000000"/>
          <w:sz w:val="36"/>
          <w:szCs w:val="24"/>
          <w:lang w:val="en-US" w:eastAsia="en-US" w:bidi="ar-SA"/>
        </w:rPr>
        <w:t>wsspjt-2026</w:t>
      </w:r>
      <w:r>
        <w:rPr>
          <w:rFonts w:ascii="仿宋" w:hAnsi="仿宋" w:cs="仿宋"/>
          <w:color w:val="000000"/>
          <w:sz w:val="32"/>
          <w:szCs w:val="22"/>
          <w:lang w:val="en-US" w:eastAsia="en-US" w:bidi="ar-SA"/>
        </w:rPr>
        <w:t>-FW3707</w:t>
      </w:r>
    </w:p>
    <w:p w14:paraId="02227A84">
      <w:pPr>
        <w:spacing w:before="0"/>
        <w:ind w:right="3438"/>
        <w:jc w:val="both"/>
        <w:rPr>
          <w:rFonts w:hint="eastAsia" w:ascii="Microsoft JhengHei" w:eastAsia="Microsoft JhengHei"/>
          <w:b/>
          <w:sz w:val="52"/>
          <w:szCs w:val="52"/>
        </w:rPr>
      </w:pPr>
    </w:p>
    <w:p w14:paraId="73CBB5F7">
      <w:pPr>
        <w:tabs>
          <w:tab w:val="left" w:pos="4316"/>
        </w:tabs>
        <w:spacing w:before="0" w:line="563" w:lineRule="exact"/>
        <w:ind w:right="0" w:firstLine="880" w:firstLineChars="400"/>
        <w:jc w:val="center"/>
        <w:rPr>
          <w:rFonts w:hint="eastAsia" w:ascii="仿宋_GB2312" w:hAnsi="仿宋_GB2312" w:eastAsia="仿宋_GB2312" w:cs="仿宋_GB2312"/>
          <w:b/>
          <w:sz w:val="44"/>
          <w:szCs w:val="44"/>
        </w:rPr>
      </w:pPr>
      <w:r>
        <w:drawing>
          <wp:anchor distT="0" distB="0" distL="114300" distR="114300" simplePos="0" relativeHeight="251659264" behindDoc="0" locked="0" layoutInCell="1" allowOverlap="1">
            <wp:simplePos x="0" y="0"/>
            <wp:positionH relativeFrom="column">
              <wp:posOffset>5601335</wp:posOffset>
            </wp:positionH>
            <wp:positionV relativeFrom="paragraph">
              <wp:posOffset>-598170</wp:posOffset>
            </wp:positionV>
            <wp:extent cx="646430" cy="431800"/>
            <wp:effectExtent l="0" t="0" r="1270" b="6350"/>
            <wp:wrapSquare wrapText="bothSides"/>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46430" cy="431800"/>
                    </a:xfrm>
                    <a:prstGeom prst="rect">
                      <a:avLst/>
                    </a:prstGeom>
                  </pic:spPr>
                </pic:pic>
              </a:graphicData>
            </a:graphic>
          </wp:anchor>
        </w:drawing>
      </w:r>
      <w:r>
        <w:rPr>
          <w:rFonts w:hint="eastAsia" w:ascii="仿宋_GB2312" w:hAnsi="仿宋_GB2312" w:eastAsia="仿宋_GB2312" w:cs="仿宋_GB2312"/>
          <w:b/>
          <w:sz w:val="44"/>
          <w:szCs w:val="44"/>
        </w:rPr>
        <w:t>第一部分</w:t>
      </w:r>
      <w:r>
        <w:rPr>
          <w:rFonts w:hint="eastAsia" w:ascii="仿宋_GB2312" w:hAnsi="仿宋_GB2312" w:eastAsia="仿宋_GB2312" w:cs="仿宋_GB2312"/>
          <w:b/>
          <w:sz w:val="44"/>
          <w:szCs w:val="44"/>
          <w:lang w:val="en-US" w:eastAsia="zh-CN"/>
        </w:rPr>
        <w:t xml:space="preserve">  </w:t>
      </w:r>
      <w:r>
        <w:rPr>
          <w:rFonts w:hint="eastAsia" w:ascii="仿宋_GB2312" w:hAnsi="仿宋_GB2312" w:eastAsia="仿宋_GB2312" w:cs="仿宋_GB2312"/>
          <w:b/>
          <w:sz w:val="44"/>
          <w:szCs w:val="44"/>
        </w:rPr>
        <w:t>投标项目说明</w:t>
      </w:r>
    </w:p>
    <w:p w14:paraId="5C8E4CC3">
      <w:pPr>
        <w:spacing w:before="0" w:line="240" w:lineRule="auto"/>
        <w:ind w:left="0" w:right="0" w:firstLine="0"/>
        <w:jc w:val="left"/>
        <w:rPr>
          <w:rFonts w:hint="eastAsia" w:ascii="仿宋_GB2312" w:hAnsi="仿宋_GB2312" w:eastAsia="仿宋_GB2312" w:cs="仿宋_GB2312"/>
          <w:b/>
          <w:sz w:val="30"/>
          <w:szCs w:val="30"/>
          <w:lang w:val="en-US" w:eastAsia="zh-CN"/>
        </w:rPr>
      </w:pPr>
    </w:p>
    <w:p w14:paraId="076E1EFA">
      <w:pPr>
        <w:spacing w:before="0" w:line="240" w:lineRule="auto"/>
        <w:ind w:left="0" w:right="0" w:firstLine="0"/>
        <w:jc w:val="left"/>
        <w:rPr>
          <w:rFonts w:hint="default" w:ascii="Times New Roman" w:hAnsi="Times New Roman" w:eastAsia="仿宋_GB2312" w:cs="Times New Roman"/>
          <w:b/>
          <w:sz w:val="30"/>
          <w:szCs w:val="30"/>
        </w:rPr>
      </w:pPr>
      <w:r>
        <w:rPr>
          <w:rFonts w:hint="eastAsia" w:ascii="仿宋_GB2312" w:hAnsi="仿宋_GB2312" w:eastAsia="仿宋_GB2312" w:cs="仿宋_GB2312"/>
          <w:b/>
          <w:sz w:val="30"/>
          <w:szCs w:val="30"/>
          <w:lang w:val="en-US" w:eastAsia="zh-CN"/>
        </w:rPr>
        <w:t>1.</w:t>
      </w:r>
      <w:r>
        <w:rPr>
          <w:rFonts w:hint="eastAsia" w:ascii="仿宋_GB2312" w:hAnsi="仿宋_GB2312" w:eastAsia="仿宋_GB2312" w:cs="仿宋_GB2312"/>
          <w:b/>
          <w:sz w:val="30"/>
          <w:szCs w:val="30"/>
        </w:rPr>
        <w:t>招标人简介</w:t>
      </w:r>
    </w:p>
    <w:p w14:paraId="1FB043F5">
      <w:pPr>
        <w:widowControl w:val="0"/>
        <w:autoSpaceDE w:val="0"/>
        <w:autoSpaceDN w:val="0"/>
        <w:spacing w:before="71" w:line="319" w:lineRule="exact"/>
        <w:ind w:firstLine="600" w:firstLineChars="200"/>
        <w:rPr>
          <w:rFonts w:hint="default" w:ascii="Times New Roman" w:hAnsi="Times New Roman" w:eastAsia="仿宋_GB2312" w:cs="Times New Roman"/>
          <w:color w:val="000000"/>
          <w:sz w:val="30"/>
          <w:szCs w:val="30"/>
          <w:lang w:val="en-US" w:eastAsia="zh-CN" w:bidi="ar-SA"/>
        </w:rPr>
      </w:pPr>
      <w:r>
        <w:rPr>
          <w:rFonts w:hint="eastAsia" w:ascii="Times New Roman" w:hAnsi="Times New Roman" w:eastAsia="仿宋_GB2312" w:cs="Times New Roman"/>
          <w:color w:val="000000"/>
          <w:sz w:val="30"/>
          <w:szCs w:val="30"/>
          <w:lang w:val="en-US" w:eastAsia="zh-CN" w:bidi="ar-SA"/>
        </w:rPr>
        <w:t>江门猪业</w:t>
      </w:r>
      <w:r>
        <w:rPr>
          <w:rFonts w:hint="default" w:ascii="Times New Roman" w:hAnsi="Times New Roman" w:eastAsia="仿宋_GB2312" w:cs="Times New Roman"/>
          <w:color w:val="000000"/>
          <w:sz w:val="30"/>
          <w:szCs w:val="30"/>
          <w:lang w:val="en-US" w:eastAsia="zh-CN" w:bidi="ar-SA"/>
        </w:rPr>
        <w:t>公司下属猪场因生产需求，在开展无种用价值猪只运输业务时，需使用专用车辆。现面向社会公开招标无种用价值猪只运输服务供应商。</w:t>
      </w:r>
    </w:p>
    <w:p w14:paraId="3AB4A8FC">
      <w:pPr>
        <w:numPr>
          <w:ilvl w:val="0"/>
          <w:numId w:val="0"/>
        </w:numPr>
        <w:spacing w:before="0" w:line="240" w:lineRule="auto"/>
        <w:ind w:right="0" w:rightChars="0"/>
        <w:jc w:val="left"/>
        <w:rPr>
          <w:rFonts w:hint="default" w:ascii="Times New Roman" w:hAnsi="Times New Roman" w:eastAsia="仿宋_GB2312" w:cs="Times New Roman"/>
          <w:b w:val="0"/>
          <w:bCs/>
          <w:color w:val="auto"/>
          <w:sz w:val="30"/>
          <w:szCs w:val="30"/>
          <w:highlight w:val="none"/>
          <w:u w:val="single"/>
          <w:lang w:val="en-US" w:eastAsia="zh-CN"/>
        </w:rPr>
      </w:pPr>
      <w:r>
        <w:rPr>
          <w:rFonts w:hint="default" w:ascii="Times New Roman" w:hAnsi="Times New Roman" w:eastAsia="仿宋_GB2312" w:cs="Times New Roman"/>
          <w:b/>
          <w:sz w:val="30"/>
          <w:szCs w:val="30"/>
          <w:lang w:val="en-US" w:eastAsia="zh-CN"/>
        </w:rPr>
        <w:t>2.</w:t>
      </w:r>
      <w:r>
        <w:rPr>
          <w:rFonts w:hint="default" w:ascii="Times New Roman" w:hAnsi="Times New Roman" w:eastAsia="仿宋_GB2312" w:cs="Times New Roman"/>
          <w:b/>
          <w:sz w:val="30"/>
          <w:szCs w:val="30"/>
          <w:lang w:eastAsia="zh-CN"/>
        </w:rPr>
        <w:t>招标</w:t>
      </w:r>
      <w:r>
        <w:rPr>
          <w:rFonts w:hint="default" w:ascii="Times New Roman" w:hAnsi="Times New Roman" w:eastAsia="仿宋_GB2312" w:cs="Times New Roman"/>
          <w:b/>
          <w:sz w:val="30"/>
          <w:szCs w:val="30"/>
          <w:lang w:val="en-US" w:eastAsia="zh-CN"/>
        </w:rPr>
        <w:t>标</w:t>
      </w:r>
      <w:r>
        <w:rPr>
          <w:rFonts w:hint="default" w:ascii="Times New Roman" w:hAnsi="Times New Roman" w:eastAsia="仿宋_GB2312" w:cs="Times New Roman"/>
          <w:b/>
          <w:color w:val="auto"/>
          <w:sz w:val="30"/>
          <w:szCs w:val="30"/>
          <w:highlight w:val="none"/>
          <w:lang w:val="en-US" w:eastAsia="zh-CN"/>
        </w:rPr>
        <w:t>的执行</w:t>
      </w:r>
      <w:r>
        <w:rPr>
          <w:rFonts w:hint="default" w:ascii="Times New Roman" w:hAnsi="Times New Roman" w:eastAsia="仿宋_GB2312" w:cs="Times New Roman"/>
          <w:b/>
          <w:color w:val="auto"/>
          <w:sz w:val="30"/>
          <w:szCs w:val="30"/>
          <w:highlight w:val="none"/>
          <w:lang w:eastAsia="zh-CN"/>
        </w:rPr>
        <w:t>范围：</w:t>
      </w:r>
      <w:r>
        <w:rPr>
          <w:rFonts w:hint="default" w:ascii="Times New Roman" w:hAnsi="Times New Roman" w:eastAsia="仿宋_GB2312" w:cs="Times New Roman"/>
          <w:b w:val="0"/>
          <w:bCs/>
          <w:color w:val="auto"/>
          <w:sz w:val="30"/>
          <w:szCs w:val="30"/>
          <w:highlight w:val="none"/>
          <w:u w:val="single"/>
          <w:lang w:val="en-US" w:eastAsia="zh-CN"/>
        </w:rPr>
        <w:t>202</w:t>
      </w:r>
      <w:r>
        <w:rPr>
          <w:rFonts w:hint="eastAsia" w:ascii="Times New Roman" w:hAnsi="Times New Roman" w:eastAsia="仿宋_GB2312" w:cs="Times New Roman"/>
          <w:b w:val="0"/>
          <w:bCs/>
          <w:color w:val="auto"/>
          <w:sz w:val="30"/>
          <w:szCs w:val="30"/>
          <w:highlight w:val="none"/>
          <w:u w:val="single"/>
          <w:lang w:val="en-US" w:eastAsia="zh-CN"/>
        </w:rPr>
        <w:t>6</w:t>
      </w:r>
      <w:r>
        <w:rPr>
          <w:rFonts w:hint="default" w:ascii="Times New Roman" w:hAnsi="Times New Roman" w:eastAsia="仿宋_GB2312" w:cs="Times New Roman"/>
          <w:b w:val="0"/>
          <w:bCs/>
          <w:color w:val="auto"/>
          <w:sz w:val="30"/>
          <w:szCs w:val="30"/>
          <w:highlight w:val="none"/>
          <w:u w:val="single"/>
          <w:lang w:val="en-US" w:eastAsia="zh-CN"/>
        </w:rPr>
        <w:t>年</w:t>
      </w:r>
      <w:r>
        <w:rPr>
          <w:rFonts w:hint="eastAsia" w:ascii="Times New Roman" w:hAnsi="Times New Roman" w:eastAsia="仿宋_GB2312" w:cs="Times New Roman"/>
          <w:b w:val="0"/>
          <w:bCs/>
          <w:color w:val="auto"/>
          <w:sz w:val="30"/>
          <w:szCs w:val="30"/>
          <w:highlight w:val="none"/>
          <w:u w:val="single"/>
          <w:lang w:val="en-US" w:eastAsia="zh-CN"/>
        </w:rPr>
        <w:t>8</w:t>
      </w:r>
      <w:r>
        <w:rPr>
          <w:rFonts w:hint="default" w:ascii="Times New Roman" w:hAnsi="Times New Roman" w:eastAsia="仿宋_GB2312" w:cs="Times New Roman"/>
          <w:b w:val="0"/>
          <w:bCs/>
          <w:color w:val="auto"/>
          <w:sz w:val="30"/>
          <w:szCs w:val="30"/>
          <w:highlight w:val="none"/>
          <w:u w:val="single"/>
          <w:lang w:val="en-US" w:eastAsia="zh-CN"/>
        </w:rPr>
        <w:t>月1</w:t>
      </w:r>
      <w:r>
        <w:rPr>
          <w:rFonts w:hint="eastAsia" w:ascii="Times New Roman" w:hAnsi="Times New Roman" w:eastAsia="仿宋_GB2312" w:cs="Times New Roman"/>
          <w:b w:val="0"/>
          <w:bCs/>
          <w:color w:val="auto"/>
          <w:sz w:val="30"/>
          <w:szCs w:val="30"/>
          <w:highlight w:val="none"/>
          <w:u w:val="single"/>
          <w:lang w:val="en-US" w:eastAsia="zh-CN"/>
        </w:rPr>
        <w:t>0</w:t>
      </w:r>
      <w:r>
        <w:rPr>
          <w:rFonts w:hint="default" w:ascii="Times New Roman" w:hAnsi="Times New Roman" w:eastAsia="仿宋_GB2312" w:cs="Times New Roman"/>
          <w:b w:val="0"/>
          <w:bCs/>
          <w:color w:val="auto"/>
          <w:sz w:val="30"/>
          <w:szCs w:val="30"/>
          <w:highlight w:val="none"/>
          <w:u w:val="single"/>
          <w:lang w:val="en-US" w:eastAsia="zh-CN"/>
        </w:rPr>
        <w:t>日~202</w:t>
      </w:r>
      <w:r>
        <w:rPr>
          <w:rFonts w:hint="eastAsia" w:ascii="Times New Roman" w:hAnsi="Times New Roman" w:eastAsia="仿宋_GB2312" w:cs="Times New Roman"/>
          <w:b w:val="0"/>
          <w:bCs/>
          <w:color w:val="auto"/>
          <w:sz w:val="30"/>
          <w:szCs w:val="30"/>
          <w:highlight w:val="none"/>
          <w:u w:val="single"/>
          <w:lang w:val="en-US" w:eastAsia="zh-CN"/>
        </w:rPr>
        <w:t>7</w:t>
      </w:r>
      <w:r>
        <w:rPr>
          <w:rFonts w:hint="default" w:ascii="Times New Roman" w:hAnsi="Times New Roman" w:eastAsia="仿宋_GB2312" w:cs="Times New Roman"/>
          <w:b w:val="0"/>
          <w:bCs/>
          <w:color w:val="auto"/>
          <w:sz w:val="30"/>
          <w:szCs w:val="30"/>
          <w:highlight w:val="none"/>
          <w:u w:val="single"/>
          <w:lang w:val="en-US" w:eastAsia="zh-CN"/>
        </w:rPr>
        <w:t>年</w:t>
      </w:r>
      <w:r>
        <w:rPr>
          <w:rFonts w:hint="eastAsia" w:ascii="Times New Roman" w:hAnsi="Times New Roman" w:eastAsia="仿宋_GB2312" w:cs="Times New Roman"/>
          <w:b w:val="0"/>
          <w:bCs/>
          <w:color w:val="auto"/>
          <w:sz w:val="30"/>
          <w:szCs w:val="30"/>
          <w:highlight w:val="none"/>
          <w:u w:val="single"/>
          <w:lang w:val="en-US" w:eastAsia="zh-CN"/>
        </w:rPr>
        <w:t>8</w:t>
      </w:r>
      <w:r>
        <w:rPr>
          <w:rFonts w:hint="default" w:ascii="Times New Roman" w:hAnsi="Times New Roman" w:eastAsia="仿宋_GB2312" w:cs="Times New Roman"/>
          <w:b w:val="0"/>
          <w:bCs/>
          <w:color w:val="auto"/>
          <w:sz w:val="30"/>
          <w:szCs w:val="30"/>
          <w:highlight w:val="none"/>
          <w:u w:val="single"/>
          <w:lang w:val="en-US" w:eastAsia="zh-CN"/>
        </w:rPr>
        <w:t>月</w:t>
      </w:r>
      <w:r>
        <w:rPr>
          <w:rFonts w:hint="eastAsia" w:ascii="Times New Roman" w:hAnsi="Times New Roman" w:eastAsia="仿宋_GB2312" w:cs="Times New Roman"/>
          <w:b w:val="0"/>
          <w:bCs/>
          <w:color w:val="auto"/>
          <w:sz w:val="30"/>
          <w:szCs w:val="30"/>
          <w:highlight w:val="none"/>
          <w:u w:val="single"/>
          <w:lang w:val="en-US" w:eastAsia="zh-CN"/>
        </w:rPr>
        <w:t>9</w:t>
      </w:r>
      <w:r>
        <w:rPr>
          <w:rFonts w:hint="default" w:ascii="Times New Roman" w:hAnsi="Times New Roman" w:eastAsia="仿宋_GB2312" w:cs="Times New Roman"/>
          <w:b w:val="0"/>
          <w:bCs/>
          <w:color w:val="auto"/>
          <w:sz w:val="30"/>
          <w:szCs w:val="30"/>
          <w:highlight w:val="none"/>
          <w:u w:val="single"/>
          <w:lang w:val="en-US" w:eastAsia="zh-CN"/>
        </w:rPr>
        <w:t xml:space="preserve">日 </w:t>
      </w:r>
    </w:p>
    <w:p w14:paraId="2066C179">
      <w:pPr>
        <w:spacing w:line="560" w:lineRule="exact"/>
        <w:rPr>
          <w:rFonts w:hint="default" w:ascii="Times New Roman" w:hAnsi="Times New Roman" w:eastAsia="仿宋_GB2312" w:cs="Times New Roman"/>
          <w:b w:val="0"/>
          <w:bCs/>
          <w:sz w:val="30"/>
          <w:szCs w:val="30"/>
          <w:highlight w:val="yellow"/>
          <w:u w:val="single"/>
          <w:lang w:val="en-US" w:eastAsia="zh-CN"/>
        </w:rPr>
      </w:pPr>
      <w:r>
        <w:rPr>
          <w:rFonts w:hint="default" w:ascii="Times New Roman" w:hAnsi="Times New Roman" w:eastAsia="仿宋_GB2312" w:cs="Times New Roman"/>
          <w:b/>
          <w:color w:val="auto"/>
          <w:sz w:val="30"/>
          <w:szCs w:val="30"/>
          <w:highlight w:val="none"/>
          <w:lang w:val="en-US" w:eastAsia="zh-CN"/>
        </w:rPr>
        <w:t>3.</w:t>
      </w:r>
      <w:r>
        <w:rPr>
          <w:rFonts w:hint="default" w:ascii="Times New Roman" w:hAnsi="Times New Roman" w:eastAsia="仿宋_GB2312" w:cs="Times New Roman"/>
          <w:b/>
          <w:color w:val="auto"/>
          <w:sz w:val="30"/>
          <w:szCs w:val="30"/>
          <w:highlight w:val="none"/>
        </w:rPr>
        <w:t>标的情况介绍：</w:t>
      </w:r>
      <w:r>
        <w:rPr>
          <w:rFonts w:hint="default" w:ascii="Times New Roman" w:hAnsi="Times New Roman" w:eastAsia="仿宋_GB2312" w:cs="Times New Roman"/>
          <w:color w:val="auto"/>
          <w:sz w:val="30"/>
          <w:szCs w:val="30"/>
          <w:highlight w:val="none"/>
        </w:rPr>
        <w:t>本次招标共设</w:t>
      </w:r>
      <w:r>
        <w:rPr>
          <w:rFonts w:hint="eastAsia" w:ascii="Times New Roman" w:hAnsi="Times New Roman" w:eastAsia="仿宋_GB2312" w:cs="Times New Roman"/>
          <w:color w:val="auto"/>
          <w:sz w:val="30"/>
          <w:szCs w:val="30"/>
          <w:highlight w:val="none"/>
          <w:lang w:val="en-US" w:eastAsia="zh-CN"/>
        </w:rPr>
        <w:t>1</w:t>
      </w:r>
      <w:r>
        <w:rPr>
          <w:rFonts w:hint="default" w:ascii="Times New Roman" w:hAnsi="Times New Roman" w:eastAsia="仿宋_GB2312" w:cs="Times New Roman"/>
          <w:color w:val="auto"/>
          <w:sz w:val="30"/>
          <w:szCs w:val="30"/>
          <w:highlight w:val="none"/>
        </w:rPr>
        <w:t>个标的</w:t>
      </w:r>
      <w:r>
        <w:rPr>
          <w:rFonts w:hint="eastAsia" w:ascii="Times New Roman" w:hAnsi="Times New Roman" w:eastAsia="仿宋_GB2312" w:cs="Times New Roman"/>
          <w:color w:val="auto"/>
          <w:sz w:val="30"/>
          <w:szCs w:val="30"/>
          <w:highlight w:val="none"/>
          <w:lang w:eastAsia="zh-CN"/>
        </w:rPr>
        <w:t>，</w:t>
      </w:r>
      <w:r>
        <w:rPr>
          <w:rFonts w:hint="default" w:ascii="Times New Roman" w:hAnsi="Times New Roman" w:eastAsia="仿宋_GB2312" w:cs="Times New Roman"/>
          <w:color w:val="auto"/>
          <w:sz w:val="30"/>
          <w:szCs w:val="30"/>
          <w:highlight w:val="none"/>
        </w:rPr>
        <w:t>详情见表</w:t>
      </w:r>
      <w:r>
        <w:rPr>
          <w:rFonts w:hint="default" w:ascii="Times New Roman" w:hAnsi="Times New Roman" w:eastAsia="仿宋_GB2312" w:cs="Times New Roman"/>
          <w:sz w:val="30"/>
          <w:szCs w:val="30"/>
          <w:highlight w:val="none"/>
        </w:rPr>
        <w:t>：</w:t>
      </w:r>
    </w:p>
    <w:tbl>
      <w:tblPr>
        <w:tblStyle w:val="11"/>
        <w:tblW w:w="501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703"/>
        <w:gridCol w:w="1427"/>
        <w:gridCol w:w="1423"/>
        <w:gridCol w:w="1259"/>
        <w:gridCol w:w="1541"/>
        <w:gridCol w:w="2767"/>
      </w:tblGrid>
      <w:tr w14:paraId="3F2B6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 w:hRule="atLeast"/>
        </w:trPr>
        <w:tc>
          <w:tcPr>
            <w:tcW w:w="841" w:type="pct"/>
            <w:vAlign w:val="top"/>
          </w:tcPr>
          <w:p w14:paraId="27789467">
            <w:pPr>
              <w:jc w:val="cente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标的</w:t>
            </w:r>
          </w:p>
        </w:tc>
        <w:tc>
          <w:tcPr>
            <w:tcW w:w="705" w:type="pct"/>
            <w:vAlign w:val="top"/>
          </w:tcPr>
          <w:p w14:paraId="42221CC9">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车型</w:t>
            </w:r>
          </w:p>
        </w:tc>
        <w:tc>
          <w:tcPr>
            <w:tcW w:w="703" w:type="pct"/>
          </w:tcPr>
          <w:p w14:paraId="40AA412E">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起运地点</w:t>
            </w:r>
          </w:p>
        </w:tc>
        <w:tc>
          <w:tcPr>
            <w:tcW w:w="622" w:type="pct"/>
            <w:tcBorders>
              <w:right w:val="single" w:color="auto" w:sz="4" w:space="0"/>
            </w:tcBorders>
          </w:tcPr>
          <w:p w14:paraId="724129A5">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送达地点</w:t>
            </w:r>
          </w:p>
        </w:tc>
        <w:tc>
          <w:tcPr>
            <w:tcW w:w="761" w:type="pct"/>
            <w:tcBorders>
              <w:left w:val="single" w:color="auto" w:sz="4" w:space="0"/>
            </w:tcBorders>
          </w:tcPr>
          <w:p w14:paraId="0CA89450">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单程重车运输距离（km）</w:t>
            </w:r>
          </w:p>
        </w:tc>
        <w:tc>
          <w:tcPr>
            <w:tcW w:w="1366" w:type="pct"/>
          </w:tcPr>
          <w:p w14:paraId="37E41CEE">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运费</w:t>
            </w:r>
          </w:p>
          <w:p w14:paraId="0EDF71B9">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（元/车）</w:t>
            </w:r>
          </w:p>
        </w:tc>
      </w:tr>
      <w:tr w14:paraId="259D72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41" w:type="pct"/>
            <w:vMerge w:val="restart"/>
            <w:vAlign w:val="top"/>
          </w:tcPr>
          <w:p w14:paraId="144C5519">
            <w:pPr>
              <w:jc w:val="center"/>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江门猪业公司下属猪场无种用价值猪只运输</w:t>
            </w:r>
          </w:p>
        </w:tc>
        <w:tc>
          <w:tcPr>
            <w:tcW w:w="705" w:type="pct"/>
            <w:vAlign w:val="top"/>
          </w:tcPr>
          <w:p w14:paraId="3FEA4C8B">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6.8米高栏车</w:t>
            </w:r>
          </w:p>
        </w:tc>
        <w:tc>
          <w:tcPr>
            <w:tcW w:w="703" w:type="pct"/>
          </w:tcPr>
          <w:p w14:paraId="5722439F">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塘美种猪场</w:t>
            </w:r>
          </w:p>
        </w:tc>
        <w:tc>
          <w:tcPr>
            <w:tcW w:w="622" w:type="pct"/>
            <w:tcBorders>
              <w:right w:val="single" w:color="auto" w:sz="4" w:space="0"/>
            </w:tcBorders>
          </w:tcPr>
          <w:p w14:paraId="4A909A0E">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公司指定点</w:t>
            </w:r>
          </w:p>
        </w:tc>
        <w:tc>
          <w:tcPr>
            <w:tcW w:w="761" w:type="pct"/>
            <w:tcBorders>
              <w:left w:val="single" w:color="auto" w:sz="4" w:space="0"/>
            </w:tcBorders>
          </w:tcPr>
          <w:p w14:paraId="0A00FE12">
            <w:pPr>
              <w:jc w:val="cente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8</w:t>
            </w:r>
          </w:p>
        </w:tc>
        <w:tc>
          <w:tcPr>
            <w:tcW w:w="1366" w:type="pct"/>
            <w:vMerge w:val="restart"/>
          </w:tcPr>
          <w:p w14:paraId="1F768029">
            <w:pPr>
              <w:rPr>
                <w:rFonts w:hint="eastAsia" w:asciiTheme="minorEastAsia" w:hAnsiTheme="minorEastAsia" w:cstheme="minorEastAsia"/>
                <w:sz w:val="24"/>
                <w:szCs w:val="24"/>
                <w:lang w:val="en-US" w:eastAsia="zh-CN"/>
              </w:rPr>
            </w:pPr>
          </w:p>
        </w:tc>
      </w:tr>
      <w:tr w14:paraId="602F3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841" w:type="pct"/>
            <w:vMerge w:val="continue"/>
            <w:vAlign w:val="top"/>
          </w:tcPr>
          <w:p w14:paraId="0EECEF92">
            <w:pPr>
              <w:jc w:val="center"/>
              <w:rPr>
                <w:rFonts w:hint="eastAsia" w:asciiTheme="minorEastAsia" w:hAnsiTheme="minorEastAsia" w:cstheme="minorEastAsia"/>
                <w:sz w:val="24"/>
                <w:szCs w:val="24"/>
                <w:lang w:val="en-US" w:eastAsia="zh-CN"/>
              </w:rPr>
            </w:pPr>
          </w:p>
        </w:tc>
        <w:tc>
          <w:tcPr>
            <w:tcW w:w="705" w:type="pct"/>
            <w:vAlign w:val="top"/>
          </w:tcPr>
          <w:p w14:paraId="5329B013">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6.8米高栏车</w:t>
            </w:r>
          </w:p>
        </w:tc>
        <w:tc>
          <w:tcPr>
            <w:tcW w:w="703" w:type="pct"/>
          </w:tcPr>
          <w:p w14:paraId="15113383">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东新种猪场</w:t>
            </w:r>
          </w:p>
        </w:tc>
        <w:tc>
          <w:tcPr>
            <w:tcW w:w="622" w:type="pct"/>
            <w:tcBorders>
              <w:right w:val="single" w:color="auto" w:sz="4" w:space="0"/>
            </w:tcBorders>
          </w:tcPr>
          <w:p w14:paraId="4D75D8B8">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公司指定点</w:t>
            </w:r>
          </w:p>
        </w:tc>
        <w:tc>
          <w:tcPr>
            <w:tcW w:w="761" w:type="pct"/>
            <w:tcBorders>
              <w:left w:val="single" w:color="auto" w:sz="4" w:space="0"/>
            </w:tcBorders>
          </w:tcPr>
          <w:p w14:paraId="78DDC94E">
            <w:pPr>
              <w:jc w:val="cente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24</w:t>
            </w:r>
          </w:p>
        </w:tc>
        <w:tc>
          <w:tcPr>
            <w:tcW w:w="1366" w:type="pct"/>
            <w:vMerge w:val="continue"/>
          </w:tcPr>
          <w:p w14:paraId="6BB96451">
            <w:pPr>
              <w:rPr>
                <w:rFonts w:hint="eastAsia" w:asciiTheme="minorEastAsia" w:hAnsiTheme="minorEastAsia" w:cstheme="minorEastAsia"/>
                <w:sz w:val="24"/>
                <w:szCs w:val="24"/>
                <w:lang w:val="en-US" w:eastAsia="zh-CN"/>
              </w:rPr>
            </w:pPr>
          </w:p>
        </w:tc>
      </w:tr>
      <w:tr w14:paraId="10441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7" w:hRule="atLeast"/>
        </w:trPr>
        <w:tc>
          <w:tcPr>
            <w:tcW w:w="841" w:type="pct"/>
            <w:vMerge w:val="continue"/>
            <w:vAlign w:val="top"/>
          </w:tcPr>
          <w:p w14:paraId="78D398B0">
            <w:pPr>
              <w:jc w:val="center"/>
              <w:rPr>
                <w:rFonts w:hint="eastAsia" w:asciiTheme="minorEastAsia" w:hAnsiTheme="minorEastAsia" w:cstheme="minorEastAsia"/>
                <w:sz w:val="24"/>
                <w:szCs w:val="24"/>
                <w:lang w:val="en-US" w:eastAsia="zh-CN"/>
              </w:rPr>
            </w:pPr>
          </w:p>
        </w:tc>
        <w:tc>
          <w:tcPr>
            <w:tcW w:w="705" w:type="pct"/>
            <w:vAlign w:val="top"/>
          </w:tcPr>
          <w:p w14:paraId="22113596">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6.8米高栏车</w:t>
            </w:r>
          </w:p>
        </w:tc>
        <w:tc>
          <w:tcPr>
            <w:tcW w:w="703" w:type="pct"/>
          </w:tcPr>
          <w:p w14:paraId="291D6C68">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和安种猪场</w:t>
            </w:r>
          </w:p>
        </w:tc>
        <w:tc>
          <w:tcPr>
            <w:tcW w:w="622" w:type="pct"/>
            <w:tcBorders>
              <w:right w:val="single" w:color="auto" w:sz="4" w:space="0"/>
            </w:tcBorders>
          </w:tcPr>
          <w:p w14:paraId="75647947">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公司指定点</w:t>
            </w:r>
          </w:p>
        </w:tc>
        <w:tc>
          <w:tcPr>
            <w:tcW w:w="761" w:type="pct"/>
            <w:tcBorders>
              <w:left w:val="single" w:color="auto" w:sz="4" w:space="0"/>
            </w:tcBorders>
          </w:tcPr>
          <w:p w14:paraId="20622A21">
            <w:pPr>
              <w:jc w:val="center"/>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3</w:t>
            </w:r>
          </w:p>
        </w:tc>
        <w:tc>
          <w:tcPr>
            <w:tcW w:w="1366" w:type="pct"/>
            <w:vMerge w:val="continue"/>
          </w:tcPr>
          <w:p w14:paraId="3C7A32BA">
            <w:pPr>
              <w:rPr>
                <w:rFonts w:hint="eastAsia" w:asciiTheme="minorEastAsia" w:hAnsiTheme="minorEastAsia" w:cstheme="minorEastAsia"/>
                <w:sz w:val="24"/>
                <w:szCs w:val="24"/>
                <w:lang w:val="en-US" w:eastAsia="zh-CN"/>
              </w:rPr>
            </w:pPr>
          </w:p>
        </w:tc>
      </w:tr>
    </w:tbl>
    <w:p w14:paraId="7BDD8831">
      <w:pPr>
        <w:spacing w:line="560" w:lineRule="exact"/>
        <w:rPr>
          <w:rFonts w:hint="default" w:ascii="Times New Roman" w:hAnsi="Times New Roman" w:eastAsia="仿宋_GB2312" w:cs="Times New Roman"/>
          <w:b w:val="0"/>
          <w:bCs/>
          <w:sz w:val="30"/>
          <w:szCs w:val="30"/>
          <w:highlight w:val="yellow"/>
          <w:u w:val="single"/>
          <w:lang w:val="en-US" w:eastAsia="zh-CN"/>
        </w:rPr>
      </w:pPr>
    </w:p>
    <w:p w14:paraId="51472238">
      <w:pPr>
        <w:autoSpaceDE/>
        <w:autoSpaceDN/>
        <w:spacing w:before="0" w:line="240" w:lineRule="auto"/>
        <w:ind w:right="0" w:firstLine="0" w:firstLineChars="0"/>
        <w:jc w:val="left"/>
        <w:rPr>
          <w:rFonts w:hint="default" w:ascii="Times New Roman" w:hAnsi="Times New Roman" w:eastAsia="仿宋_GB2312" w:cs="Times New Roman"/>
          <w:b/>
          <w:sz w:val="30"/>
          <w:szCs w:val="30"/>
          <w:lang w:val="en-US" w:eastAsia="zh-CN"/>
        </w:rPr>
      </w:pPr>
    </w:p>
    <w:p w14:paraId="64E315B1">
      <w:pPr>
        <w:autoSpaceDE/>
        <w:autoSpaceDN/>
        <w:spacing w:before="0" w:line="240" w:lineRule="auto"/>
        <w:ind w:right="0"/>
        <w:jc w:val="left"/>
        <w:rPr>
          <w:rFonts w:hint="default" w:ascii="Times New Roman" w:hAnsi="Times New Roman" w:eastAsia="仿宋_GB2312" w:cs="Times New Roman"/>
          <w:color w:val="auto"/>
          <w:spacing w:val="-6"/>
          <w:sz w:val="30"/>
          <w:szCs w:val="30"/>
          <w:lang w:val="en-US" w:eastAsia="zh-CN" w:bidi="ar-SA"/>
        </w:rPr>
      </w:pPr>
      <w:r>
        <w:rPr>
          <w:rFonts w:hint="eastAsia" w:ascii="Times New Roman" w:hAnsi="Times New Roman" w:eastAsia="仿宋_GB2312" w:cs="Times New Roman"/>
          <w:color w:val="auto"/>
          <w:spacing w:val="-6"/>
          <w:sz w:val="30"/>
          <w:szCs w:val="30"/>
          <w:lang w:val="en-US" w:eastAsia="zh-CN" w:bidi="ar-SA"/>
        </w:rPr>
        <w:t>（1）</w:t>
      </w:r>
      <w:r>
        <w:rPr>
          <w:rFonts w:hint="default" w:ascii="Times New Roman" w:hAnsi="Times New Roman" w:eastAsia="仿宋_GB2312" w:cs="Times New Roman"/>
          <w:color w:val="auto"/>
          <w:spacing w:val="-6"/>
          <w:sz w:val="30"/>
          <w:szCs w:val="30"/>
          <w:lang w:val="en-US" w:eastAsia="zh-CN" w:bidi="ar-SA"/>
        </w:rPr>
        <w:t>以上运费包括车辆清洗费、油费、司机工资、车辆折旧、路桥费、利润、税费、闲置费、餐费、调车费、保险费，等与运输业务相关的所有费用。</w:t>
      </w:r>
    </w:p>
    <w:p w14:paraId="50A5F77C">
      <w:pPr>
        <w:autoSpaceDE/>
        <w:autoSpaceDN/>
        <w:spacing w:before="0" w:line="240" w:lineRule="auto"/>
        <w:ind w:right="0" w:firstLine="0" w:firstLineChars="0"/>
        <w:jc w:val="left"/>
        <w:rPr>
          <w:rFonts w:hint="default" w:ascii="Times New Roman" w:hAnsi="Times New Roman" w:eastAsia="仿宋_GB2312" w:cs="Times New Roman"/>
          <w:color w:val="FF0000"/>
          <w:spacing w:val="-6"/>
          <w:sz w:val="30"/>
          <w:szCs w:val="30"/>
          <w:lang w:val="en-US" w:eastAsia="zh-CN" w:bidi="ar-SA"/>
        </w:rPr>
      </w:pPr>
    </w:p>
    <w:p w14:paraId="0F507B1E">
      <w:pPr>
        <w:autoSpaceDE/>
        <w:autoSpaceDN/>
        <w:spacing w:before="0" w:line="240" w:lineRule="auto"/>
        <w:ind w:right="0" w:firstLine="0" w:firstLineChars="0"/>
        <w:jc w:val="left"/>
        <w:rPr>
          <w:rFonts w:hint="default" w:ascii="Times New Roman" w:hAnsi="Times New Roman" w:eastAsia="仿宋_GB2312" w:cs="Times New Roman"/>
          <w:sz w:val="30"/>
          <w:szCs w:val="30"/>
        </w:rPr>
      </w:pPr>
      <w:r>
        <w:rPr>
          <w:rFonts w:hint="default" w:ascii="Times New Roman" w:hAnsi="Times New Roman" w:eastAsia="仿宋_GB2312" w:cs="Times New Roman"/>
          <w:b/>
          <w:sz w:val="30"/>
          <w:szCs w:val="30"/>
          <w:lang w:val="en-US" w:eastAsia="zh-CN"/>
        </w:rPr>
        <w:t>4.</w:t>
      </w:r>
      <w:r>
        <w:rPr>
          <w:rFonts w:hint="default" w:ascii="Times New Roman" w:hAnsi="Times New Roman" w:eastAsia="仿宋_GB2312" w:cs="Times New Roman"/>
          <w:b/>
          <w:sz w:val="30"/>
          <w:szCs w:val="30"/>
          <w:lang w:eastAsia="zh-CN"/>
        </w:rPr>
        <w:t>招标方式</w:t>
      </w:r>
      <w:r>
        <w:rPr>
          <w:rFonts w:hint="default" w:ascii="Times New Roman" w:hAnsi="Times New Roman" w:eastAsia="仿宋_GB2312" w:cs="Times New Roman"/>
          <w:b/>
          <w:sz w:val="30"/>
          <w:szCs w:val="30"/>
        </w:rPr>
        <w:t>：</w:t>
      </w:r>
      <w:r>
        <w:rPr>
          <w:rFonts w:hint="default" w:ascii="Times New Roman" w:hAnsi="Times New Roman" w:eastAsia="仿宋_GB2312" w:cs="Times New Roman"/>
          <w:sz w:val="30"/>
          <w:szCs w:val="30"/>
          <w:lang w:val="en-US" w:eastAsia="zh-CN"/>
        </w:rPr>
        <w:t>网上</w:t>
      </w:r>
      <w:r>
        <w:rPr>
          <w:rFonts w:hint="default" w:ascii="Times New Roman" w:hAnsi="Times New Roman" w:eastAsia="仿宋_GB2312" w:cs="Times New Roman"/>
          <w:sz w:val="30"/>
          <w:szCs w:val="30"/>
        </w:rPr>
        <w:t>公开招标。</w:t>
      </w:r>
    </w:p>
    <w:p w14:paraId="3EA8272C">
      <w:pPr>
        <w:spacing w:line="240" w:lineRule="auto"/>
        <w:ind w:left="0"/>
        <w:rPr>
          <w:rFonts w:hint="default" w:ascii="Times New Roman" w:hAnsi="Times New Roman" w:eastAsia="仿宋_GB2312" w:cs="Times New Roman"/>
          <w:b/>
          <w:sz w:val="30"/>
          <w:szCs w:val="30"/>
          <w:lang w:eastAsia="zh-CN"/>
        </w:rPr>
      </w:pPr>
      <w:r>
        <w:rPr>
          <w:rFonts w:hint="default" w:ascii="Times New Roman" w:hAnsi="Times New Roman" w:eastAsia="仿宋_GB2312" w:cs="Times New Roman"/>
          <w:b/>
          <w:sz w:val="30"/>
          <w:szCs w:val="30"/>
          <w:lang w:val="en-US" w:eastAsia="zh-CN"/>
        </w:rPr>
        <w:t>5.</w:t>
      </w:r>
      <w:r>
        <w:rPr>
          <w:rFonts w:hint="default" w:ascii="Times New Roman" w:hAnsi="Times New Roman" w:eastAsia="仿宋_GB2312" w:cs="Times New Roman"/>
          <w:b/>
          <w:sz w:val="30"/>
          <w:szCs w:val="30"/>
          <w:lang w:eastAsia="zh-CN"/>
        </w:rPr>
        <w:t>参标流程：</w:t>
      </w:r>
    </w:p>
    <w:p w14:paraId="1EEFDBDE">
      <w:pPr>
        <w:pStyle w:val="9"/>
        <w:keepNext w:val="0"/>
        <w:keepLines w:val="0"/>
        <w:pageBreakBefore w:val="0"/>
        <w:widowControl w:val="0"/>
        <w:numPr>
          <w:ilvl w:val="0"/>
          <w:numId w:val="0"/>
        </w:numPr>
        <w:tabs>
          <w:tab w:val="left" w:pos="1570"/>
        </w:tabs>
        <w:kinsoku/>
        <w:wordWrap/>
        <w:overflowPunct/>
        <w:topLinePunct w:val="0"/>
        <w:autoSpaceDE w:val="0"/>
        <w:autoSpaceDN w:val="0"/>
        <w:bidi w:val="0"/>
        <w:adjustRightInd/>
        <w:snapToGrid/>
        <w:spacing w:before="0" w:after="0" w:line="240" w:lineRule="auto"/>
        <w:ind w:left="0" w:right="0" w:rightChars="0" w:firstLine="288" w:firstLineChars="100"/>
        <w:jc w:val="left"/>
        <w:textAlignment w:val="auto"/>
        <w:rPr>
          <w:rFonts w:hint="default" w:ascii="Times New Roman" w:hAnsi="Times New Roman" w:eastAsia="仿宋_GB2312" w:cs="Times New Roman"/>
          <w:spacing w:val="-6"/>
          <w:sz w:val="30"/>
          <w:szCs w:val="30"/>
          <w:highlight w:val="none"/>
          <w:lang w:val="en-US" w:eastAsia="zh-CN"/>
        </w:rPr>
      </w:pPr>
      <w:r>
        <w:rPr>
          <w:rFonts w:hint="default" w:ascii="Times New Roman" w:hAnsi="Times New Roman" w:eastAsia="仿宋_GB2312" w:cs="Times New Roman"/>
          <w:spacing w:val="-6"/>
          <w:sz w:val="30"/>
          <w:szCs w:val="30"/>
          <w:lang w:eastAsia="zh-CN"/>
        </w:rPr>
        <w:t>（</w:t>
      </w:r>
      <w:r>
        <w:rPr>
          <w:rFonts w:hint="default" w:ascii="Times New Roman" w:hAnsi="Times New Roman" w:eastAsia="仿宋_GB2312" w:cs="Times New Roman"/>
          <w:spacing w:val="-6"/>
          <w:sz w:val="30"/>
          <w:szCs w:val="30"/>
          <w:lang w:val="en-US" w:eastAsia="zh-CN"/>
        </w:rPr>
        <w:t>1</w:t>
      </w:r>
      <w:r>
        <w:rPr>
          <w:rFonts w:hint="default" w:ascii="Times New Roman" w:hAnsi="Times New Roman" w:eastAsia="仿宋_GB2312" w:cs="Times New Roman"/>
          <w:spacing w:val="-6"/>
          <w:sz w:val="30"/>
          <w:szCs w:val="30"/>
          <w:lang w:eastAsia="zh-CN"/>
        </w:rPr>
        <w:t>）</w:t>
      </w:r>
      <w:r>
        <w:rPr>
          <w:rFonts w:hint="default" w:ascii="Times New Roman" w:hAnsi="Times New Roman" w:eastAsia="仿宋_GB2312" w:cs="Times New Roman"/>
          <w:spacing w:val="-6"/>
          <w:sz w:val="30"/>
          <w:szCs w:val="30"/>
          <w:lang w:val="en-US" w:eastAsia="zh-CN"/>
        </w:rPr>
        <w:t>意向参与投标的单位，请提供以下资料：投标报名表及投标承诺书、专用车辆登记证书复印件、行驶证，投标方要求为运输公司，递交营业执照复印件（加</w:t>
      </w:r>
      <w:r>
        <w:rPr>
          <w:rFonts w:hint="default" w:ascii="Times New Roman" w:hAnsi="Times New Roman" w:eastAsia="仿宋_GB2312" w:cs="Times New Roman"/>
          <w:spacing w:val="-6"/>
          <w:sz w:val="30"/>
          <w:szCs w:val="30"/>
          <w:highlight w:val="none"/>
          <w:lang w:val="en-US" w:eastAsia="zh-CN"/>
        </w:rPr>
        <w:t>盖公章），法定代表人身份证复印件，</w:t>
      </w:r>
      <w:r>
        <w:rPr>
          <w:rFonts w:hint="default" w:ascii="Times New Roman" w:hAnsi="Times New Roman" w:eastAsia="仿宋_GB2312" w:cs="Times New Roman"/>
          <w:spacing w:val="-6"/>
          <w:sz w:val="30"/>
          <w:szCs w:val="30"/>
          <w:highlight w:val="none"/>
          <w:lang w:eastAsia="zh-CN"/>
        </w:rPr>
        <w:t>银行开户许可证并签字、道路运输经营许可证（加盖公章）、投标人认为应补充的其他材料。将资料报送至</w:t>
      </w:r>
      <w:r>
        <w:rPr>
          <w:rFonts w:hint="default" w:ascii="Times New Roman" w:hAnsi="Times New Roman" w:eastAsia="仿宋_GB2312" w:cs="Times New Roman"/>
          <w:spacing w:val="-6"/>
          <w:sz w:val="30"/>
          <w:szCs w:val="30"/>
          <w:highlight w:val="none"/>
          <w:u w:val="single"/>
          <w:lang w:val="en-US" w:eastAsia="zh-CN"/>
        </w:rPr>
        <w:t xml:space="preserve"> </w:t>
      </w:r>
      <w:r>
        <w:rPr>
          <w:rFonts w:hint="eastAsia" w:ascii="Times New Roman" w:hAnsi="Times New Roman" w:eastAsia="仿宋_GB2312" w:cs="Times New Roman"/>
          <w:spacing w:val="-6"/>
          <w:sz w:val="30"/>
          <w:szCs w:val="30"/>
          <w:highlight w:val="none"/>
          <w:u w:val="single"/>
          <w:lang w:val="en-US" w:eastAsia="zh-CN"/>
        </w:rPr>
        <w:t>江门猪业</w:t>
      </w:r>
      <w:r>
        <w:rPr>
          <w:rFonts w:hint="default" w:ascii="Times New Roman" w:hAnsi="Times New Roman" w:eastAsia="仿宋_GB2312" w:cs="Times New Roman"/>
          <w:spacing w:val="-6"/>
          <w:sz w:val="30"/>
          <w:szCs w:val="30"/>
          <w:highlight w:val="none"/>
          <w:u w:val="single"/>
          <w:lang w:val="en-US" w:eastAsia="zh-CN"/>
        </w:rPr>
        <w:t>公司</w:t>
      </w:r>
      <w:r>
        <w:rPr>
          <w:rFonts w:hint="eastAsia" w:ascii="Times New Roman" w:hAnsi="Times New Roman" w:eastAsia="仿宋_GB2312" w:cs="Times New Roman"/>
          <w:spacing w:val="-6"/>
          <w:sz w:val="30"/>
          <w:szCs w:val="30"/>
          <w:highlight w:val="none"/>
          <w:u w:val="single"/>
          <w:lang w:val="en-US" w:eastAsia="zh-CN"/>
        </w:rPr>
        <w:t>财务室梁榕强</w:t>
      </w:r>
      <w:r>
        <w:rPr>
          <w:rFonts w:hint="default" w:ascii="Times New Roman" w:hAnsi="Times New Roman" w:eastAsia="仿宋_GB2312" w:cs="Times New Roman"/>
          <w:spacing w:val="-6"/>
          <w:sz w:val="30"/>
          <w:szCs w:val="30"/>
          <w:highlight w:val="none"/>
          <w:u w:val="single"/>
          <w:lang w:val="en-US" w:eastAsia="zh-CN"/>
        </w:rPr>
        <w:t xml:space="preserve">    </w:t>
      </w:r>
      <w:r>
        <w:rPr>
          <w:rFonts w:hint="default" w:ascii="Times New Roman" w:hAnsi="Times New Roman" w:eastAsia="仿宋_GB2312" w:cs="Times New Roman"/>
          <w:spacing w:val="-6"/>
          <w:sz w:val="30"/>
          <w:szCs w:val="30"/>
          <w:highlight w:val="none"/>
          <w:lang w:eastAsia="zh-CN"/>
        </w:rPr>
        <w:t>处（</w:t>
      </w:r>
      <w:r>
        <w:rPr>
          <w:rFonts w:hint="default" w:ascii="Times New Roman" w:hAnsi="Times New Roman" w:eastAsia="仿宋_GB2312" w:cs="Times New Roman"/>
          <w:spacing w:val="-6"/>
          <w:sz w:val="30"/>
          <w:szCs w:val="30"/>
          <w:highlight w:val="none"/>
          <w:lang w:val="en-US" w:eastAsia="zh-CN"/>
        </w:rPr>
        <w:t>邮箱</w:t>
      </w:r>
      <w:r>
        <w:rPr>
          <w:rFonts w:hint="default" w:ascii="Times New Roman" w:hAnsi="Times New Roman" w:eastAsia="仿宋_GB2312" w:cs="Times New Roman"/>
          <w:spacing w:val="-6"/>
          <w:sz w:val="30"/>
          <w:szCs w:val="30"/>
          <w:highlight w:val="none"/>
          <w:lang w:eastAsia="zh-CN"/>
        </w:rPr>
        <w:t>：</w:t>
      </w:r>
      <w:r>
        <w:rPr>
          <w:rFonts w:hint="eastAsia" w:ascii="Times New Roman" w:hAnsi="Times New Roman" w:eastAsia="仿宋_GB2312" w:cs="Times New Roman"/>
          <w:spacing w:val="-6"/>
          <w:sz w:val="30"/>
          <w:szCs w:val="30"/>
          <w:highlight w:val="none"/>
          <w:lang w:val="en-US" w:eastAsia="zh-CN"/>
        </w:rPr>
        <w:t>729770981</w:t>
      </w:r>
      <w:r>
        <w:rPr>
          <w:rFonts w:hint="default" w:ascii="Times New Roman" w:hAnsi="Times New Roman" w:eastAsia="仿宋_GB2312" w:cs="Times New Roman"/>
          <w:spacing w:val="-6"/>
          <w:sz w:val="30"/>
          <w:szCs w:val="30"/>
          <w:highlight w:val="none"/>
          <w:u w:val="single"/>
          <w:lang w:val="en-US" w:eastAsia="zh-CN"/>
        </w:rPr>
        <w:t>@qq.com</w:t>
      </w:r>
      <w:r>
        <w:rPr>
          <w:rFonts w:hint="default" w:ascii="Times New Roman" w:hAnsi="Times New Roman" w:eastAsia="仿宋_GB2312" w:cs="Times New Roman"/>
          <w:spacing w:val="-6"/>
          <w:sz w:val="30"/>
          <w:szCs w:val="30"/>
          <w:highlight w:val="none"/>
          <w:lang w:eastAsia="zh-CN"/>
        </w:rPr>
        <w:t>）进行报名。</w:t>
      </w:r>
    </w:p>
    <w:p w14:paraId="3493AC1A">
      <w:pPr>
        <w:pStyle w:val="9"/>
        <w:keepNext w:val="0"/>
        <w:keepLines w:val="0"/>
        <w:pageBreakBefore w:val="0"/>
        <w:widowControl w:val="0"/>
        <w:numPr>
          <w:ilvl w:val="0"/>
          <w:numId w:val="0"/>
        </w:numPr>
        <w:tabs>
          <w:tab w:val="left" w:pos="1570"/>
        </w:tabs>
        <w:kinsoku/>
        <w:wordWrap/>
        <w:overflowPunct/>
        <w:topLinePunct w:val="0"/>
        <w:autoSpaceDE w:val="0"/>
        <w:autoSpaceDN w:val="0"/>
        <w:bidi w:val="0"/>
        <w:adjustRightInd/>
        <w:snapToGrid/>
        <w:spacing w:before="0" w:after="0" w:line="240" w:lineRule="auto"/>
        <w:ind w:left="0" w:right="0" w:rightChars="0" w:firstLine="288" w:firstLineChars="100"/>
        <w:jc w:val="left"/>
        <w:textAlignment w:val="auto"/>
        <w:rPr>
          <w:rFonts w:hint="default" w:ascii="Times New Roman" w:hAnsi="Times New Roman" w:eastAsia="仿宋_GB2312" w:cs="Times New Roman"/>
          <w:spacing w:val="-6"/>
          <w:sz w:val="30"/>
          <w:szCs w:val="30"/>
          <w:highlight w:val="none"/>
          <w:lang w:val="en-US" w:eastAsia="zh-CN"/>
        </w:rPr>
      </w:pPr>
      <w:r>
        <w:rPr>
          <w:rFonts w:hint="default" w:ascii="Times New Roman" w:hAnsi="Times New Roman" w:eastAsia="仿宋_GB2312" w:cs="Times New Roman"/>
          <w:spacing w:val="-6"/>
          <w:sz w:val="30"/>
          <w:szCs w:val="30"/>
          <w:highlight w:val="none"/>
          <w:lang w:eastAsia="zh-CN"/>
        </w:rPr>
        <w:t>（</w:t>
      </w:r>
      <w:r>
        <w:rPr>
          <w:rFonts w:hint="default" w:ascii="Times New Roman" w:hAnsi="Times New Roman" w:eastAsia="仿宋_GB2312" w:cs="Times New Roman"/>
          <w:spacing w:val="-6"/>
          <w:sz w:val="30"/>
          <w:szCs w:val="30"/>
          <w:highlight w:val="none"/>
          <w:lang w:val="en-US" w:eastAsia="zh-CN"/>
        </w:rPr>
        <w:t>2</w:t>
      </w:r>
      <w:r>
        <w:rPr>
          <w:rFonts w:hint="default" w:ascii="Times New Roman" w:hAnsi="Times New Roman" w:eastAsia="仿宋_GB2312" w:cs="Times New Roman"/>
          <w:spacing w:val="-6"/>
          <w:sz w:val="30"/>
          <w:szCs w:val="30"/>
          <w:highlight w:val="none"/>
          <w:lang w:eastAsia="zh-CN"/>
        </w:rPr>
        <w:t>）</w:t>
      </w:r>
      <w:r>
        <w:rPr>
          <w:rFonts w:hint="default" w:ascii="Times New Roman" w:hAnsi="Times New Roman" w:eastAsia="仿宋_GB2312" w:cs="Times New Roman"/>
          <w:spacing w:val="-6"/>
          <w:sz w:val="30"/>
          <w:szCs w:val="30"/>
          <w:highlight w:val="none"/>
          <w:u w:val="single"/>
          <w:lang w:val="en-US" w:eastAsia="zh-CN"/>
        </w:rPr>
        <w:t xml:space="preserve">  </w:t>
      </w:r>
      <w:r>
        <w:rPr>
          <w:rFonts w:hint="eastAsia" w:ascii="Times New Roman" w:hAnsi="Times New Roman" w:eastAsia="仿宋_GB2312" w:cs="Times New Roman"/>
          <w:spacing w:val="-6"/>
          <w:sz w:val="30"/>
          <w:szCs w:val="30"/>
          <w:highlight w:val="none"/>
          <w:u w:val="single"/>
          <w:lang w:val="en-US" w:eastAsia="zh-CN"/>
        </w:rPr>
        <w:t>江门猪业</w:t>
      </w:r>
      <w:r>
        <w:rPr>
          <w:rFonts w:hint="default" w:ascii="Times New Roman" w:hAnsi="Times New Roman" w:eastAsia="仿宋_GB2312" w:cs="Times New Roman"/>
          <w:spacing w:val="-6"/>
          <w:sz w:val="30"/>
          <w:szCs w:val="30"/>
          <w:highlight w:val="none"/>
          <w:u w:val="single"/>
          <w:lang w:val="en-US" w:eastAsia="zh-CN"/>
        </w:rPr>
        <w:t>公司</w:t>
      </w:r>
      <w:r>
        <w:rPr>
          <w:rFonts w:hint="eastAsia" w:ascii="Times New Roman" w:hAnsi="Times New Roman" w:eastAsia="仿宋_GB2312" w:cs="Times New Roman"/>
          <w:spacing w:val="-6"/>
          <w:sz w:val="30"/>
          <w:szCs w:val="30"/>
          <w:highlight w:val="none"/>
          <w:u w:val="single"/>
          <w:lang w:val="en-US" w:eastAsia="zh-CN"/>
        </w:rPr>
        <w:t>财务室</w:t>
      </w:r>
      <w:r>
        <w:rPr>
          <w:rFonts w:hint="default" w:ascii="Times New Roman" w:hAnsi="Times New Roman" w:eastAsia="仿宋_GB2312" w:cs="Times New Roman"/>
          <w:spacing w:val="-6"/>
          <w:sz w:val="30"/>
          <w:szCs w:val="30"/>
          <w:highlight w:val="none"/>
          <w:u w:val="single"/>
          <w:lang w:val="en-US" w:eastAsia="zh-CN"/>
        </w:rPr>
        <w:t xml:space="preserve">     </w:t>
      </w:r>
      <w:r>
        <w:rPr>
          <w:rFonts w:hint="default" w:ascii="Times New Roman" w:hAnsi="Times New Roman" w:eastAsia="仿宋_GB2312" w:cs="Times New Roman"/>
          <w:spacing w:val="-6"/>
          <w:sz w:val="30"/>
          <w:szCs w:val="30"/>
          <w:highlight w:val="none"/>
          <w:lang w:val="en-US" w:eastAsia="zh-CN"/>
        </w:rPr>
        <w:t>运输小组对报名参与招标单位的资质进行评审。通过资质评审、复合投标的单位在规定时间内缴纳投标保证金，同时完成网上投标系统</w:t>
      </w:r>
      <w:r>
        <w:rPr>
          <w:rFonts w:hint="default" w:ascii="Times New Roman" w:hAnsi="Times New Roman" w:eastAsia="仿宋_GB2312" w:cs="Times New Roman"/>
          <w:spacing w:val="-6"/>
          <w:sz w:val="30"/>
          <w:szCs w:val="30"/>
          <w:highlight w:val="none"/>
          <w:lang w:eastAsia="zh-CN"/>
        </w:rPr>
        <w:t>（https://bid.wens.com.cn）注册。</w:t>
      </w:r>
    </w:p>
    <w:p w14:paraId="35FE995D">
      <w:pPr>
        <w:pStyle w:val="9"/>
        <w:keepNext w:val="0"/>
        <w:keepLines w:val="0"/>
        <w:pageBreakBefore w:val="0"/>
        <w:widowControl w:val="0"/>
        <w:numPr>
          <w:ilvl w:val="0"/>
          <w:numId w:val="1"/>
        </w:numPr>
        <w:tabs>
          <w:tab w:val="left" w:pos="1570"/>
        </w:tabs>
        <w:kinsoku/>
        <w:wordWrap/>
        <w:overflowPunct/>
        <w:topLinePunct w:val="0"/>
        <w:autoSpaceDE w:val="0"/>
        <w:autoSpaceDN w:val="0"/>
        <w:bidi w:val="0"/>
        <w:adjustRightInd/>
        <w:snapToGrid/>
        <w:spacing w:before="0" w:after="0" w:line="240" w:lineRule="auto"/>
        <w:ind w:left="0" w:right="0" w:rightChars="0" w:firstLine="300" w:firstLineChars="100"/>
        <w:jc w:val="left"/>
        <w:textAlignment w:val="auto"/>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highlight w:val="none"/>
          <w:u w:val="single"/>
          <w:lang w:val="en-US" w:eastAsia="zh-CN"/>
        </w:rPr>
        <w:t xml:space="preserve">  </w:t>
      </w:r>
      <w:r>
        <w:rPr>
          <w:rFonts w:hint="eastAsia" w:ascii="Times New Roman" w:hAnsi="Times New Roman" w:eastAsia="仿宋_GB2312" w:cs="Times New Roman"/>
          <w:spacing w:val="-6"/>
          <w:sz w:val="30"/>
          <w:szCs w:val="30"/>
          <w:highlight w:val="none"/>
          <w:u w:val="single"/>
          <w:lang w:val="en-US" w:eastAsia="zh-CN"/>
        </w:rPr>
        <w:t>江门猪业</w:t>
      </w:r>
      <w:r>
        <w:rPr>
          <w:rFonts w:hint="default" w:ascii="Times New Roman" w:hAnsi="Times New Roman" w:eastAsia="仿宋_GB2312" w:cs="Times New Roman"/>
          <w:spacing w:val="-6"/>
          <w:sz w:val="30"/>
          <w:szCs w:val="30"/>
          <w:highlight w:val="none"/>
          <w:u w:val="single"/>
          <w:lang w:val="en-US" w:eastAsia="zh-CN"/>
        </w:rPr>
        <w:t>公司</w:t>
      </w:r>
      <w:r>
        <w:rPr>
          <w:rFonts w:hint="eastAsia" w:ascii="Times New Roman" w:hAnsi="Times New Roman" w:eastAsia="仿宋_GB2312" w:cs="Times New Roman"/>
          <w:spacing w:val="-6"/>
          <w:sz w:val="30"/>
          <w:szCs w:val="30"/>
          <w:highlight w:val="none"/>
          <w:u w:val="single"/>
          <w:lang w:val="en-US" w:eastAsia="zh-CN"/>
        </w:rPr>
        <w:t>财务室</w:t>
      </w:r>
      <w:r>
        <w:rPr>
          <w:rFonts w:hint="default" w:ascii="Times New Roman" w:hAnsi="Times New Roman" w:eastAsia="仿宋_GB2312" w:cs="Times New Roman"/>
          <w:sz w:val="30"/>
          <w:szCs w:val="30"/>
          <w:highlight w:val="none"/>
          <w:u w:val="single"/>
          <w:lang w:val="en-US" w:eastAsia="zh-CN"/>
        </w:rPr>
        <w:t xml:space="preserve">   </w:t>
      </w:r>
      <w:r>
        <w:rPr>
          <w:rFonts w:hint="default" w:ascii="Times New Roman" w:hAnsi="Times New Roman" w:eastAsia="仿宋_GB2312" w:cs="Times New Roman"/>
          <w:sz w:val="30"/>
          <w:szCs w:val="30"/>
          <w:highlight w:val="none"/>
          <w:lang w:val="en-US" w:eastAsia="zh-CN"/>
        </w:rPr>
        <w:t xml:space="preserve"> 运输</w:t>
      </w:r>
      <w:r>
        <w:rPr>
          <w:rFonts w:hint="default" w:ascii="Times New Roman" w:hAnsi="Times New Roman" w:eastAsia="仿宋_GB2312" w:cs="Times New Roman"/>
          <w:spacing w:val="20"/>
          <w:sz w:val="30"/>
          <w:szCs w:val="30"/>
          <w:highlight w:val="none"/>
          <w:lang w:val="en-US" w:eastAsia="zh-CN"/>
        </w:rPr>
        <w:t>小组</w:t>
      </w:r>
      <w:r>
        <w:rPr>
          <w:rFonts w:hint="default" w:ascii="Times New Roman" w:hAnsi="Times New Roman" w:eastAsia="仿宋_GB2312" w:cs="Times New Roman"/>
          <w:sz w:val="30"/>
          <w:szCs w:val="30"/>
          <w:highlight w:val="none"/>
          <w:lang w:val="en-US" w:eastAsia="zh-CN"/>
        </w:rPr>
        <w:t>对审核合</w:t>
      </w:r>
      <w:r>
        <w:rPr>
          <w:rFonts w:hint="default" w:ascii="Times New Roman" w:hAnsi="Times New Roman" w:eastAsia="仿宋_GB2312" w:cs="Times New Roman"/>
          <w:sz w:val="30"/>
          <w:szCs w:val="30"/>
          <w:lang w:val="en-US" w:eastAsia="zh-CN"/>
        </w:rPr>
        <w:t>格的单位发放网上标书允许</w:t>
      </w:r>
      <w:r>
        <w:rPr>
          <w:rFonts w:hint="default" w:ascii="Times New Roman" w:hAnsi="Times New Roman" w:eastAsia="仿宋_GB2312" w:cs="Times New Roman"/>
          <w:spacing w:val="20"/>
          <w:sz w:val="30"/>
          <w:szCs w:val="30"/>
          <w:lang w:val="en-US" w:eastAsia="zh-CN"/>
        </w:rPr>
        <w:t>投标</w:t>
      </w:r>
      <w:r>
        <w:rPr>
          <w:rFonts w:hint="default" w:ascii="Times New Roman" w:hAnsi="Times New Roman" w:eastAsia="仿宋_GB2312" w:cs="Times New Roman"/>
          <w:sz w:val="30"/>
          <w:szCs w:val="30"/>
          <w:lang w:val="en-US" w:eastAsia="zh-CN"/>
        </w:rPr>
        <w:t>，投标单位在</w:t>
      </w:r>
      <w:r>
        <w:rPr>
          <w:rFonts w:hint="default" w:ascii="Times New Roman" w:hAnsi="Times New Roman" w:eastAsia="仿宋_GB2312" w:cs="Times New Roman"/>
          <w:spacing w:val="20"/>
          <w:sz w:val="30"/>
          <w:szCs w:val="30"/>
          <w:lang w:val="en-US" w:eastAsia="zh-CN"/>
        </w:rPr>
        <w:t>接收</w:t>
      </w:r>
      <w:r>
        <w:rPr>
          <w:rFonts w:hint="default" w:ascii="Times New Roman" w:hAnsi="Times New Roman" w:eastAsia="仿宋_GB2312" w:cs="Times New Roman"/>
          <w:sz w:val="30"/>
          <w:szCs w:val="30"/>
          <w:lang w:val="en-US" w:eastAsia="zh-CN"/>
        </w:rPr>
        <w:t>到邀标信息后，在规定时间内进入温氏股份网上招标系统填报价格和填写</w:t>
      </w:r>
      <w:r>
        <w:rPr>
          <w:rFonts w:hint="default" w:ascii="Times New Roman" w:hAnsi="Times New Roman" w:eastAsia="仿宋_GB2312" w:cs="Times New Roman"/>
          <w:sz w:val="30"/>
          <w:szCs w:val="30"/>
          <w:lang w:eastAsia="zh-CN"/>
        </w:rPr>
        <w:t>《投标承诺书》，签名盖章（手指模）后扫描上传完成投标。</w:t>
      </w:r>
    </w:p>
    <w:p w14:paraId="7F7B6088">
      <w:pPr>
        <w:spacing w:line="240" w:lineRule="auto"/>
        <w:ind w:left="0"/>
        <w:rPr>
          <w:rFonts w:hint="default" w:ascii="Times New Roman" w:hAnsi="Times New Roman" w:eastAsia="仿宋_GB2312" w:cs="Times New Roman"/>
          <w:b/>
          <w:sz w:val="30"/>
          <w:szCs w:val="30"/>
          <w:highlight w:val="none"/>
          <w:lang w:eastAsia="zh-CN"/>
        </w:rPr>
      </w:pPr>
      <w:r>
        <w:rPr>
          <w:rFonts w:hint="default" w:ascii="Times New Roman" w:hAnsi="Times New Roman" w:eastAsia="仿宋_GB2312" w:cs="Times New Roman"/>
          <w:sz w:val="30"/>
          <w:szCs w:val="30"/>
          <w:highlight w:val="none"/>
          <w:lang w:val="en-US" w:eastAsia="zh-CN"/>
        </w:rPr>
        <w:t>5</w:t>
      </w:r>
      <w:r>
        <w:rPr>
          <w:rFonts w:hint="default" w:ascii="Times New Roman" w:hAnsi="Times New Roman" w:eastAsia="仿宋_GB2312" w:cs="Times New Roman"/>
          <w:b/>
          <w:sz w:val="30"/>
          <w:szCs w:val="30"/>
          <w:highlight w:val="none"/>
          <w:lang w:val="en-US" w:eastAsia="zh-CN"/>
        </w:rPr>
        <w:t>、保证金缴纳</w:t>
      </w:r>
      <w:r>
        <w:rPr>
          <w:rFonts w:hint="default" w:ascii="Times New Roman" w:hAnsi="Times New Roman" w:eastAsia="仿宋_GB2312" w:cs="Times New Roman"/>
          <w:b/>
          <w:sz w:val="30"/>
          <w:szCs w:val="30"/>
          <w:highlight w:val="none"/>
          <w:lang w:eastAsia="zh-CN"/>
        </w:rPr>
        <w:t>：</w:t>
      </w:r>
    </w:p>
    <w:p w14:paraId="37C43CFC">
      <w:pPr>
        <w:pStyle w:val="9"/>
        <w:keepNext w:val="0"/>
        <w:keepLines w:val="0"/>
        <w:pageBreakBefore w:val="0"/>
        <w:widowControl w:val="0"/>
        <w:numPr>
          <w:ilvl w:val="0"/>
          <w:numId w:val="0"/>
        </w:numPr>
        <w:tabs>
          <w:tab w:val="left" w:pos="1570"/>
        </w:tabs>
        <w:kinsoku/>
        <w:wordWrap/>
        <w:overflowPunct/>
        <w:topLinePunct w:val="0"/>
        <w:autoSpaceDE w:val="0"/>
        <w:autoSpaceDN w:val="0"/>
        <w:bidi w:val="0"/>
        <w:adjustRightInd/>
        <w:snapToGrid/>
        <w:spacing w:before="1" w:after="0" w:line="240" w:lineRule="auto"/>
        <w:ind w:left="0" w:right="506" w:rightChars="0" w:firstLine="600" w:firstLineChars="200"/>
        <w:jc w:val="both"/>
        <w:textAlignment w:val="auto"/>
        <w:rPr>
          <w:rFonts w:hint="default" w:ascii="Times New Roman" w:hAnsi="Times New Roman" w:eastAsia="仿宋_GB2312" w:cs="Times New Roman"/>
          <w:b w:val="0"/>
          <w:bCs/>
          <w:sz w:val="30"/>
          <w:szCs w:val="30"/>
          <w:lang w:val="en-US" w:eastAsia="zh-CN"/>
        </w:rPr>
      </w:pPr>
      <w:r>
        <w:rPr>
          <w:rFonts w:hint="default" w:ascii="Times New Roman" w:hAnsi="Times New Roman" w:eastAsia="仿宋_GB2312" w:cs="Times New Roman"/>
          <w:b w:val="0"/>
          <w:bCs/>
          <w:sz w:val="30"/>
          <w:szCs w:val="30"/>
          <w:highlight w:val="none"/>
          <w:lang w:val="en-US" w:eastAsia="zh-CN"/>
        </w:rPr>
        <w:t>通过资质评审的投标人在收到我司回</w:t>
      </w:r>
      <w:r>
        <w:rPr>
          <w:rFonts w:hint="default" w:ascii="Times New Roman" w:hAnsi="Times New Roman" w:eastAsia="仿宋_GB2312" w:cs="Times New Roman"/>
          <w:b w:val="0"/>
          <w:bCs/>
          <w:spacing w:val="20"/>
          <w:sz w:val="30"/>
          <w:szCs w:val="30"/>
          <w:highlight w:val="none"/>
          <w:lang w:val="en-US" w:eastAsia="zh-CN"/>
        </w:rPr>
        <w:t>复函</w:t>
      </w:r>
      <w:r>
        <w:rPr>
          <w:rFonts w:hint="default" w:ascii="Times New Roman" w:hAnsi="Times New Roman" w:eastAsia="仿宋_GB2312" w:cs="Times New Roman"/>
          <w:b w:val="0"/>
          <w:bCs/>
          <w:sz w:val="30"/>
          <w:szCs w:val="30"/>
          <w:highlight w:val="none"/>
          <w:lang w:val="en-US" w:eastAsia="zh-CN"/>
        </w:rPr>
        <w:t>后，按照回复函要求于</w:t>
      </w:r>
      <w:r>
        <w:rPr>
          <w:rFonts w:hint="default" w:ascii="Times New Roman" w:hAnsi="Times New Roman" w:eastAsia="仿宋_GB2312" w:cs="Times New Roman"/>
          <w:b w:val="0"/>
          <w:bCs/>
          <w:sz w:val="30"/>
          <w:szCs w:val="30"/>
          <w:highlight w:val="none"/>
          <w:u w:val="single"/>
          <w:lang w:val="en-US" w:eastAsia="zh-CN"/>
        </w:rPr>
        <w:t>202</w:t>
      </w:r>
      <w:r>
        <w:rPr>
          <w:rFonts w:hint="eastAsia" w:ascii="Times New Roman" w:hAnsi="Times New Roman" w:eastAsia="仿宋_GB2312" w:cs="Times New Roman"/>
          <w:b w:val="0"/>
          <w:bCs/>
          <w:sz w:val="30"/>
          <w:szCs w:val="30"/>
          <w:highlight w:val="none"/>
          <w:u w:val="single"/>
          <w:lang w:val="en-US" w:eastAsia="zh-CN"/>
        </w:rPr>
        <w:t>6</w:t>
      </w:r>
      <w:r>
        <w:rPr>
          <w:rFonts w:hint="default" w:ascii="Times New Roman" w:hAnsi="Times New Roman" w:eastAsia="仿宋_GB2312" w:cs="Times New Roman"/>
          <w:b w:val="0"/>
          <w:bCs/>
          <w:sz w:val="30"/>
          <w:szCs w:val="30"/>
          <w:highlight w:val="none"/>
          <w:lang w:val="en-US" w:eastAsia="zh-CN"/>
        </w:rPr>
        <w:t>年</w:t>
      </w:r>
      <w:r>
        <w:rPr>
          <w:rFonts w:hint="eastAsia" w:ascii="Times New Roman" w:hAnsi="Times New Roman" w:eastAsia="仿宋_GB2312" w:cs="Times New Roman"/>
          <w:b w:val="0"/>
          <w:bCs/>
          <w:sz w:val="30"/>
          <w:szCs w:val="30"/>
          <w:highlight w:val="none"/>
          <w:lang w:val="en-US" w:eastAsia="zh-CN"/>
        </w:rPr>
        <w:t>8</w:t>
      </w:r>
      <w:r>
        <w:rPr>
          <w:rFonts w:hint="default" w:ascii="Times New Roman" w:hAnsi="Times New Roman" w:eastAsia="仿宋_GB2312" w:cs="Times New Roman"/>
          <w:b w:val="0"/>
          <w:bCs/>
          <w:sz w:val="30"/>
          <w:szCs w:val="30"/>
          <w:highlight w:val="none"/>
          <w:u w:val="single"/>
          <w:lang w:val="en-US" w:eastAsia="zh-CN"/>
        </w:rPr>
        <w:t>月</w:t>
      </w:r>
      <w:r>
        <w:rPr>
          <w:rFonts w:hint="eastAsia" w:ascii="Times New Roman" w:hAnsi="Times New Roman" w:eastAsia="仿宋_GB2312" w:cs="Times New Roman"/>
          <w:b w:val="0"/>
          <w:bCs/>
          <w:sz w:val="30"/>
          <w:szCs w:val="30"/>
          <w:highlight w:val="none"/>
          <w:u w:val="single"/>
          <w:lang w:val="en-US" w:eastAsia="zh-CN"/>
        </w:rPr>
        <w:t>7</w:t>
      </w:r>
      <w:r>
        <w:rPr>
          <w:rFonts w:hint="default" w:ascii="Times New Roman" w:hAnsi="Times New Roman" w:eastAsia="仿宋_GB2312" w:cs="Times New Roman"/>
          <w:b w:val="0"/>
          <w:bCs/>
          <w:sz w:val="30"/>
          <w:szCs w:val="30"/>
          <w:highlight w:val="none"/>
          <w:u w:val="single"/>
          <w:lang w:val="en-US" w:eastAsia="zh-CN"/>
        </w:rPr>
        <w:t>日</w:t>
      </w:r>
      <w:r>
        <w:rPr>
          <w:rFonts w:hint="eastAsia" w:ascii="Times New Roman" w:hAnsi="Times New Roman" w:eastAsia="仿宋_GB2312" w:cs="Times New Roman"/>
          <w:b w:val="0"/>
          <w:bCs/>
          <w:sz w:val="30"/>
          <w:szCs w:val="30"/>
          <w:highlight w:val="none"/>
          <w:u w:val="single"/>
          <w:lang w:val="en-US" w:eastAsia="zh-CN"/>
        </w:rPr>
        <w:t>上午12:00</w:t>
      </w:r>
      <w:r>
        <w:rPr>
          <w:rFonts w:hint="default" w:ascii="Times New Roman" w:hAnsi="Times New Roman" w:eastAsia="仿宋_GB2312" w:cs="Times New Roman"/>
          <w:b w:val="0"/>
          <w:bCs/>
          <w:sz w:val="30"/>
          <w:szCs w:val="30"/>
          <w:highlight w:val="none"/>
          <w:lang w:val="en-US" w:eastAsia="zh-CN"/>
        </w:rPr>
        <w:t>前将</w:t>
      </w:r>
      <w:r>
        <w:rPr>
          <w:rFonts w:hint="default" w:ascii="Times New Roman" w:hAnsi="Times New Roman" w:eastAsia="仿宋_GB2312" w:cs="Times New Roman"/>
          <w:b w:val="0"/>
          <w:bCs/>
          <w:spacing w:val="20"/>
          <w:sz w:val="30"/>
          <w:szCs w:val="30"/>
          <w:highlight w:val="none"/>
          <w:lang w:val="en-US" w:eastAsia="zh-CN"/>
        </w:rPr>
        <w:t>本次</w:t>
      </w:r>
      <w:r>
        <w:rPr>
          <w:rFonts w:hint="default" w:ascii="Times New Roman" w:hAnsi="Times New Roman" w:eastAsia="仿宋_GB2312" w:cs="Times New Roman"/>
          <w:b w:val="0"/>
          <w:bCs/>
          <w:sz w:val="30"/>
          <w:szCs w:val="30"/>
          <w:highlight w:val="none"/>
          <w:lang w:val="en-US" w:eastAsia="zh-CN"/>
        </w:rPr>
        <w:t>招标报名保证金</w:t>
      </w:r>
      <w:r>
        <w:rPr>
          <w:rFonts w:hint="default" w:ascii="Times New Roman" w:hAnsi="Times New Roman" w:eastAsia="仿宋_GB2312" w:cs="Times New Roman"/>
          <w:b w:val="0"/>
          <w:bCs/>
          <w:sz w:val="30"/>
          <w:szCs w:val="30"/>
          <w:highlight w:val="none"/>
          <w:u w:val="single"/>
          <w:lang w:val="en-US" w:eastAsia="zh-CN"/>
        </w:rPr>
        <w:t xml:space="preserve"> </w:t>
      </w:r>
      <w:r>
        <w:rPr>
          <w:rFonts w:hint="eastAsia" w:ascii="Times New Roman" w:hAnsi="Times New Roman" w:eastAsia="仿宋_GB2312" w:cs="Times New Roman"/>
          <w:b w:val="0"/>
          <w:bCs/>
          <w:sz w:val="30"/>
          <w:szCs w:val="30"/>
          <w:highlight w:val="none"/>
          <w:u w:val="single"/>
          <w:lang w:val="en-US" w:eastAsia="zh-CN"/>
        </w:rPr>
        <w:t>2</w:t>
      </w:r>
      <w:r>
        <w:rPr>
          <w:rFonts w:hint="default" w:ascii="Times New Roman" w:hAnsi="Times New Roman" w:eastAsia="仿宋_GB2312" w:cs="Times New Roman"/>
          <w:b w:val="0"/>
          <w:bCs/>
          <w:spacing w:val="20"/>
          <w:sz w:val="30"/>
          <w:szCs w:val="30"/>
          <w:highlight w:val="none"/>
          <w:lang w:val="en-US" w:eastAsia="zh-CN"/>
        </w:rPr>
        <w:t>万元</w:t>
      </w:r>
      <w:r>
        <w:rPr>
          <w:rFonts w:hint="default" w:ascii="Times New Roman" w:hAnsi="Times New Roman" w:eastAsia="仿宋_GB2312" w:cs="Times New Roman"/>
          <w:b w:val="0"/>
          <w:bCs/>
          <w:sz w:val="30"/>
          <w:szCs w:val="30"/>
          <w:highlight w:val="none"/>
          <w:lang w:val="en-US" w:eastAsia="zh-CN"/>
        </w:rPr>
        <w:t>汇款至以下账号，</w:t>
      </w:r>
      <w:r>
        <w:rPr>
          <w:rFonts w:hint="default" w:ascii="Times New Roman" w:hAnsi="Times New Roman" w:eastAsia="仿宋_GB2312" w:cs="Times New Roman"/>
          <w:b w:val="0"/>
          <w:bCs/>
          <w:sz w:val="30"/>
          <w:szCs w:val="30"/>
          <w:lang w:val="en-US" w:eastAsia="zh-CN"/>
        </w:rPr>
        <w:t>保证金缴纳以转账形式提交，以招标人收到时间为准。</w:t>
      </w:r>
      <w:r>
        <w:rPr>
          <w:rFonts w:hint="default" w:ascii="Times New Roman" w:hAnsi="Times New Roman" w:eastAsia="仿宋_GB2312" w:cs="Times New Roman"/>
          <w:b/>
          <w:bCs w:val="0"/>
          <w:sz w:val="30"/>
          <w:szCs w:val="30"/>
          <w:lang w:val="en-US" w:eastAsia="zh-CN"/>
        </w:rPr>
        <w:t>汇款方名称须与投标方名称一致</w:t>
      </w:r>
      <w:r>
        <w:rPr>
          <w:rFonts w:hint="default" w:ascii="Times New Roman" w:hAnsi="Times New Roman" w:eastAsia="仿宋_GB2312" w:cs="Times New Roman"/>
          <w:b w:val="0"/>
          <w:bCs/>
          <w:sz w:val="30"/>
          <w:szCs w:val="30"/>
          <w:lang w:val="en-US" w:eastAsia="zh-CN"/>
        </w:rPr>
        <w:t>。汇款请在用途处注明：投标保证金，过时未汇款的视为放弃投标：</w:t>
      </w:r>
    </w:p>
    <w:p w14:paraId="53D383A1">
      <w:pPr>
        <w:pStyle w:val="6"/>
        <w:spacing w:line="240" w:lineRule="auto"/>
        <w:ind w:left="769"/>
        <w:rPr>
          <w:rFonts w:hint="default" w:ascii="Times New Roman" w:hAnsi="Times New Roman" w:eastAsia="仿宋_GB2312" w:cs="Times New Roman"/>
          <w:sz w:val="30"/>
          <w:szCs w:val="30"/>
          <w:highlight w:val="none"/>
          <w:u w:val="single"/>
          <w:lang w:val="en-US" w:eastAsia="zh-CN"/>
        </w:rPr>
      </w:pPr>
      <w:r>
        <w:rPr>
          <w:rFonts w:hint="default" w:ascii="Times New Roman" w:hAnsi="Times New Roman" w:eastAsia="仿宋_GB2312" w:cs="Times New Roman"/>
          <w:sz w:val="30"/>
          <w:szCs w:val="30"/>
        </w:rPr>
        <w:t>公司名称：</w:t>
      </w:r>
      <w:r>
        <w:rPr>
          <w:rFonts w:hint="default" w:ascii="Times New Roman" w:hAnsi="Times New Roman" w:eastAsia="仿宋_GB2312" w:cs="Times New Roman"/>
          <w:sz w:val="30"/>
          <w:szCs w:val="30"/>
          <w:highlight w:val="none"/>
          <w:u w:val="single"/>
          <w:lang w:val="en-US" w:eastAsia="zh-CN"/>
        </w:rPr>
        <w:t xml:space="preserve">  </w:t>
      </w:r>
      <w:r>
        <w:rPr>
          <w:rFonts w:hint="eastAsia" w:ascii="Times New Roman" w:hAnsi="Times New Roman" w:eastAsia="仿宋_GB2312" w:cs="Times New Roman"/>
          <w:sz w:val="30"/>
          <w:szCs w:val="30"/>
          <w:highlight w:val="none"/>
          <w:u w:val="single"/>
          <w:lang w:val="en-US" w:eastAsia="zh-CN"/>
        </w:rPr>
        <w:t>开平市温氏畜牧有限公司</w:t>
      </w:r>
      <w:r>
        <w:rPr>
          <w:rFonts w:hint="default" w:ascii="Times New Roman" w:hAnsi="Times New Roman" w:eastAsia="仿宋_GB2312" w:cs="Times New Roman"/>
          <w:sz w:val="30"/>
          <w:szCs w:val="30"/>
          <w:highlight w:val="none"/>
          <w:u w:val="single"/>
          <w:lang w:val="en-US" w:eastAsia="zh-CN"/>
        </w:rPr>
        <w:t xml:space="preserve">         </w:t>
      </w:r>
    </w:p>
    <w:p w14:paraId="31640955">
      <w:pPr>
        <w:pStyle w:val="6"/>
        <w:spacing w:before="0" w:line="240" w:lineRule="auto"/>
        <w:ind w:right="0" w:firstLine="600" w:firstLineChars="200"/>
        <w:rPr>
          <w:rFonts w:hint="default" w:ascii="Times New Roman" w:hAnsi="Times New Roman" w:eastAsia="仿宋_GB2312" w:cs="Times New Roman"/>
          <w:sz w:val="30"/>
          <w:szCs w:val="30"/>
          <w:highlight w:val="none"/>
          <w:u w:val="single"/>
          <w:lang w:val="en-US" w:eastAsia="zh-CN"/>
        </w:rPr>
      </w:pPr>
      <w:r>
        <w:rPr>
          <w:rFonts w:hint="default" w:ascii="Times New Roman" w:hAnsi="Times New Roman" w:eastAsia="仿宋_GB2312" w:cs="Times New Roman"/>
          <w:sz w:val="30"/>
          <w:szCs w:val="30"/>
          <w:highlight w:val="none"/>
        </w:rPr>
        <w:t>统一社会信用代码</w:t>
      </w:r>
      <w:r>
        <w:rPr>
          <w:rFonts w:hint="default" w:ascii="Times New Roman" w:hAnsi="Times New Roman" w:eastAsia="仿宋_GB2312" w:cs="Times New Roman"/>
          <w:sz w:val="30"/>
          <w:szCs w:val="30"/>
          <w:highlight w:val="none"/>
          <w:lang w:val="en-US" w:eastAsia="zh-CN"/>
        </w:rPr>
        <w:t>:</w:t>
      </w:r>
      <w:r>
        <w:rPr>
          <w:rFonts w:hint="default" w:ascii="Times New Roman" w:hAnsi="Times New Roman" w:eastAsia="仿宋_GB2312" w:cs="Times New Roman"/>
          <w:sz w:val="30"/>
          <w:szCs w:val="30"/>
          <w:highlight w:val="none"/>
          <w:u w:val="single"/>
          <w:lang w:val="en-US" w:eastAsia="zh-CN"/>
        </w:rPr>
        <w:t xml:space="preserve">  914407837578817001       </w:t>
      </w:r>
    </w:p>
    <w:p w14:paraId="0355B2C7">
      <w:pPr>
        <w:pStyle w:val="6"/>
        <w:spacing w:before="0" w:line="240" w:lineRule="auto"/>
        <w:ind w:right="0" w:firstLine="600" w:firstLineChars="200"/>
        <w:rPr>
          <w:rFonts w:hint="default" w:ascii="Times New Roman" w:hAnsi="Times New Roman" w:eastAsia="仿宋_GB2312" w:cs="Times New Roman"/>
          <w:sz w:val="30"/>
          <w:szCs w:val="30"/>
          <w:highlight w:val="none"/>
          <w:u w:val="single"/>
          <w:lang w:val="en-US" w:eastAsia="zh-CN"/>
        </w:rPr>
      </w:pPr>
      <w:r>
        <w:rPr>
          <w:rFonts w:hint="default" w:ascii="Times New Roman" w:hAnsi="Times New Roman" w:eastAsia="仿宋_GB2312" w:cs="Times New Roman"/>
          <w:sz w:val="30"/>
          <w:szCs w:val="30"/>
          <w:highlight w:val="none"/>
        </w:rPr>
        <w:t>开户行：</w:t>
      </w:r>
      <w:r>
        <w:rPr>
          <w:rFonts w:hint="default" w:ascii="Times New Roman" w:hAnsi="Times New Roman" w:eastAsia="仿宋_GB2312" w:cs="Times New Roman"/>
          <w:sz w:val="30"/>
          <w:szCs w:val="30"/>
          <w:highlight w:val="none"/>
          <w:u w:val="single"/>
          <w:lang w:val="en-US" w:eastAsia="zh-CN"/>
        </w:rPr>
        <w:t xml:space="preserve"> 中国银行股份有限公司云浮新兴支行 </w:t>
      </w:r>
    </w:p>
    <w:p w14:paraId="6D107EA3">
      <w:pPr>
        <w:pStyle w:val="6"/>
        <w:spacing w:before="0" w:line="240" w:lineRule="auto"/>
        <w:ind w:right="0" w:firstLine="600" w:firstLineChars="200"/>
        <w:rPr>
          <w:rFonts w:hint="default" w:ascii="Times New Roman" w:hAnsi="Times New Roman" w:eastAsia="仿宋_GB2312" w:cs="Times New Roman"/>
          <w:sz w:val="30"/>
          <w:szCs w:val="30"/>
          <w:highlight w:val="none"/>
          <w:u w:val="single"/>
          <w:lang w:val="en-US" w:eastAsia="zh-CN"/>
        </w:rPr>
      </w:pPr>
      <w:r>
        <w:rPr>
          <w:rFonts w:hint="default" w:ascii="Times New Roman" w:hAnsi="Times New Roman" w:eastAsia="仿宋_GB2312" w:cs="Times New Roman"/>
          <w:sz w:val="30"/>
          <w:szCs w:val="30"/>
          <w:highlight w:val="none"/>
        </w:rPr>
        <w:t>账号：</w:t>
      </w:r>
      <w:r>
        <w:rPr>
          <w:rFonts w:hint="default" w:ascii="Times New Roman" w:hAnsi="Times New Roman" w:eastAsia="仿宋_GB2312" w:cs="Times New Roman"/>
          <w:sz w:val="30"/>
          <w:szCs w:val="30"/>
          <w:highlight w:val="none"/>
          <w:u w:val="single"/>
          <w:lang w:val="en-US" w:eastAsia="zh-CN"/>
        </w:rPr>
        <w:t xml:space="preserve">  669168766669                     </w:t>
      </w:r>
    </w:p>
    <w:p w14:paraId="3782C950">
      <w:pPr>
        <w:pStyle w:val="6"/>
        <w:spacing w:before="0" w:line="240" w:lineRule="auto"/>
        <w:ind w:right="0" w:firstLine="580" w:firstLineChars="200"/>
        <w:rPr>
          <w:rFonts w:hint="default" w:ascii="Times New Roman" w:hAnsi="Times New Roman" w:eastAsia="仿宋_GB2312" w:cs="Times New Roman"/>
          <w:b w:val="0"/>
          <w:bCs w:val="0"/>
          <w:sz w:val="30"/>
          <w:szCs w:val="30"/>
          <w:highlight w:val="none"/>
          <w:u w:val="single"/>
          <w:lang w:val="en-US" w:eastAsia="zh-CN"/>
        </w:rPr>
      </w:pPr>
      <w:r>
        <w:rPr>
          <w:rFonts w:hint="default" w:ascii="Times New Roman" w:hAnsi="Times New Roman" w:eastAsia="仿宋_GB2312" w:cs="Times New Roman"/>
          <w:spacing w:val="-5"/>
          <w:sz w:val="30"/>
          <w:szCs w:val="30"/>
          <w:highlight w:val="none"/>
        </w:rPr>
        <w:t>地址：</w:t>
      </w:r>
      <w:r>
        <w:rPr>
          <w:rFonts w:hint="default" w:ascii="Times New Roman" w:hAnsi="Times New Roman" w:eastAsia="仿宋_GB2312" w:cs="Times New Roman"/>
          <w:b w:val="0"/>
          <w:bCs w:val="0"/>
          <w:spacing w:val="-5"/>
          <w:sz w:val="30"/>
          <w:szCs w:val="30"/>
          <w:highlight w:val="none"/>
          <w:u w:val="single"/>
          <w:lang w:val="en-US" w:eastAsia="zh-CN"/>
        </w:rPr>
        <w:t xml:space="preserve"> 广东开平市赤坎镇五龙村委会</w:t>
      </w:r>
    </w:p>
    <w:p w14:paraId="105E79FD">
      <w:pPr>
        <w:pStyle w:val="6"/>
        <w:spacing w:line="240" w:lineRule="auto"/>
        <w:ind w:left="769"/>
        <w:rPr>
          <w:rFonts w:hint="default" w:ascii="Times New Roman" w:hAnsi="Times New Roman" w:eastAsia="仿宋_GB2312" w:cs="Times New Roman"/>
          <w:sz w:val="30"/>
          <w:szCs w:val="30"/>
        </w:rPr>
      </w:pPr>
      <w:r>
        <w:rPr>
          <w:rFonts w:hint="default" w:ascii="Times New Roman" w:hAnsi="Times New Roman" w:eastAsia="仿宋_GB2312" w:cs="Times New Roman"/>
          <w:b/>
          <w:sz w:val="30"/>
          <w:szCs w:val="30"/>
        </w:rPr>
        <w:t>6</w:t>
      </w:r>
      <w:r>
        <w:rPr>
          <w:rFonts w:hint="default" w:ascii="Times New Roman" w:hAnsi="Times New Roman" w:eastAsia="仿宋_GB2312" w:cs="Times New Roman"/>
          <w:b/>
          <w:spacing w:val="-51"/>
          <w:sz w:val="30"/>
          <w:szCs w:val="30"/>
        </w:rPr>
        <w:t>、</w:t>
      </w:r>
      <w:r>
        <w:rPr>
          <w:rFonts w:hint="default" w:ascii="Times New Roman" w:hAnsi="Times New Roman" w:eastAsia="仿宋_GB2312" w:cs="Times New Roman"/>
          <w:spacing w:val="-6"/>
          <w:sz w:val="30"/>
          <w:szCs w:val="30"/>
        </w:rPr>
        <w:t>开标时间及投标相关事项将在第二部分《投标须知》上说明，</w:t>
      </w:r>
    </w:p>
    <w:p w14:paraId="2D472142">
      <w:pPr>
        <w:pStyle w:val="6"/>
        <w:spacing w:line="240" w:lineRule="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招标具体标的情况及要求在本文底部。</w:t>
      </w:r>
      <w:r>
        <w:rPr>
          <w:rFonts w:hint="default" w:ascii="Times New Roman" w:hAnsi="Times New Roman" w:cs="Times New Roman"/>
        </w:rPr>
        <w:drawing>
          <wp:anchor distT="0" distB="0" distL="114300" distR="114300" simplePos="0" relativeHeight="251660288" behindDoc="0" locked="0" layoutInCell="1" allowOverlap="1">
            <wp:simplePos x="0" y="0"/>
            <wp:positionH relativeFrom="column">
              <wp:posOffset>5601335</wp:posOffset>
            </wp:positionH>
            <wp:positionV relativeFrom="paragraph">
              <wp:posOffset>-598170</wp:posOffset>
            </wp:positionV>
            <wp:extent cx="646430" cy="431800"/>
            <wp:effectExtent l="0" t="0" r="1270" b="6350"/>
            <wp:wrapSquare wrapText="bothSides"/>
            <wp:docPr id="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46430" cy="431800"/>
                    </a:xfrm>
                    <a:prstGeom prst="rect">
                      <a:avLst/>
                    </a:prstGeom>
                  </pic:spPr>
                </pic:pic>
              </a:graphicData>
            </a:graphic>
          </wp:anchor>
        </w:drawing>
      </w:r>
    </w:p>
    <w:p w14:paraId="6A0BF268">
      <w:pPr>
        <w:pStyle w:val="3"/>
        <w:tabs>
          <w:tab w:val="left" w:pos="5195"/>
        </w:tabs>
        <w:spacing w:line="675" w:lineRule="exact"/>
        <w:ind w:left="0" w:leftChars="0" w:firstLine="2209" w:firstLineChars="500"/>
        <w:rPr>
          <w:rFonts w:hint="default" w:ascii="Times New Roman" w:hAnsi="Times New Roman" w:eastAsia="仿宋_GB2312" w:cs="Times New Roman"/>
          <w:sz w:val="44"/>
          <w:szCs w:val="44"/>
        </w:rPr>
      </w:pPr>
      <w:r>
        <w:rPr>
          <w:rFonts w:hint="default" w:ascii="Times New Roman" w:hAnsi="Times New Roman" w:eastAsia="仿宋_GB2312" w:cs="Times New Roman"/>
          <w:sz w:val="44"/>
          <w:szCs w:val="44"/>
        </w:rPr>
        <w:t>第二部分</w:t>
      </w:r>
      <w:r>
        <w:rPr>
          <w:rFonts w:hint="default" w:ascii="Times New Roman" w:hAnsi="Times New Roman" w:eastAsia="仿宋_GB2312" w:cs="Times New Roman"/>
          <w:sz w:val="44"/>
          <w:szCs w:val="44"/>
          <w:lang w:val="en-US" w:eastAsia="zh-CN"/>
        </w:rPr>
        <w:t xml:space="preserve">    </w:t>
      </w:r>
      <w:r>
        <w:rPr>
          <w:rFonts w:hint="default" w:ascii="Times New Roman" w:hAnsi="Times New Roman" w:eastAsia="仿宋_GB2312" w:cs="Times New Roman"/>
          <w:sz w:val="44"/>
          <w:szCs w:val="44"/>
        </w:rPr>
        <w:t>投标须知</w:t>
      </w:r>
    </w:p>
    <w:tbl>
      <w:tblPr>
        <w:tblStyle w:val="7"/>
        <w:tblW w:w="500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643"/>
        <w:gridCol w:w="665"/>
        <w:gridCol w:w="8800"/>
      </w:tblGrid>
      <w:tr w14:paraId="1A1A0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5000" w:type="pct"/>
            <w:gridSpan w:val="3"/>
            <w:tcBorders>
              <w:tl2br w:val="nil"/>
              <w:tr2bl w:val="nil"/>
            </w:tcBorders>
          </w:tcPr>
          <w:p w14:paraId="4C9E6F0C">
            <w:pPr>
              <w:pStyle w:val="10"/>
              <w:spacing w:before="96" w:line="404" w:lineRule="exact"/>
              <w:ind w:left="2"/>
              <w:jc w:val="center"/>
              <w:rPr>
                <w:rFonts w:hint="default" w:ascii="Times New Roman" w:hAnsi="Times New Roman" w:eastAsia="仿宋_GB2312" w:cs="Times New Roman"/>
                <w:color w:val="000000" w:themeColor="text1"/>
                <w:sz w:val="30"/>
                <w:szCs w:val="30"/>
                <w:lang w:eastAsia="zh-CN"/>
                <w14:textFill>
                  <w14:solidFill>
                    <w14:schemeClr w14:val="tx1"/>
                  </w14:solidFill>
                </w14:textFill>
              </w:rPr>
            </w:pPr>
            <w:r>
              <w:rPr>
                <w:rFonts w:hint="default" w:ascii="Times New Roman" w:hAnsi="Times New Roman" w:eastAsia="仿宋_GB2312" w:cs="Times New Roman"/>
                <w:color w:val="000000" w:themeColor="text1"/>
                <w:sz w:val="30"/>
                <w:szCs w:val="30"/>
                <w14:textFill>
                  <w14:solidFill>
                    <w14:schemeClr w14:val="tx1"/>
                  </w14:solidFill>
                </w14:textFill>
              </w:rPr>
              <w:t>主要内容</w:t>
            </w:r>
          </w:p>
        </w:tc>
      </w:tr>
      <w:tr w14:paraId="262D6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318" w:type="pct"/>
            <w:tcBorders>
              <w:tl2br w:val="nil"/>
              <w:tr2bl w:val="nil"/>
            </w:tcBorders>
          </w:tcPr>
          <w:p w14:paraId="4B7BB7A9">
            <w:pPr>
              <w:pStyle w:val="10"/>
              <w:spacing w:before="118"/>
              <w:ind w:left="120"/>
              <w:jc w:val="center"/>
              <w:rPr>
                <w:rFonts w:hint="default" w:ascii="Times New Roman" w:hAnsi="Times New Roman" w:eastAsia="仿宋_GB2312" w:cs="Times New Roman"/>
                <w:color w:val="000000" w:themeColor="text1"/>
                <w:sz w:val="30"/>
                <w:szCs w:val="30"/>
                <w14:textFill>
                  <w14:solidFill>
                    <w14:schemeClr w14:val="tx1"/>
                  </w14:solidFill>
                </w14:textFill>
              </w:rPr>
            </w:pPr>
            <w:r>
              <w:rPr>
                <w:rFonts w:hint="default" w:ascii="Times New Roman" w:hAnsi="Times New Roman" w:eastAsia="仿宋_GB2312" w:cs="Times New Roman"/>
                <w:color w:val="000000" w:themeColor="text1"/>
                <w:w w:val="99"/>
                <w:sz w:val="30"/>
                <w:szCs w:val="30"/>
                <w14:textFill>
                  <w14:solidFill>
                    <w14:schemeClr w14:val="tx1"/>
                  </w14:solidFill>
                </w14:textFill>
              </w:rPr>
              <w:t>1</w:t>
            </w:r>
          </w:p>
        </w:tc>
        <w:tc>
          <w:tcPr>
            <w:tcW w:w="4681" w:type="pct"/>
            <w:gridSpan w:val="2"/>
            <w:tcBorders>
              <w:tl2br w:val="nil"/>
              <w:tr2bl w:val="nil"/>
            </w:tcBorders>
          </w:tcPr>
          <w:p w14:paraId="0925665C">
            <w:pPr>
              <w:pStyle w:val="10"/>
              <w:spacing w:before="96" w:line="240" w:lineRule="auto"/>
              <w:rPr>
                <w:rFonts w:hint="default" w:ascii="Times New Roman" w:hAnsi="Times New Roman" w:eastAsia="仿宋_GB2312" w:cs="Times New Roman"/>
                <w:color w:val="000000" w:themeColor="text1"/>
                <w:sz w:val="30"/>
                <w:szCs w:val="30"/>
                <w14:textFill>
                  <w14:solidFill>
                    <w14:schemeClr w14:val="tx1"/>
                  </w14:solidFill>
                </w14:textFill>
              </w:rPr>
            </w:pPr>
            <w:r>
              <w:rPr>
                <w:rFonts w:hint="default" w:ascii="Times New Roman" w:hAnsi="Times New Roman" w:eastAsia="仿宋_GB2312" w:cs="Times New Roman"/>
                <w:color w:val="000000" w:themeColor="text1"/>
                <w:sz w:val="30"/>
                <w:szCs w:val="30"/>
                <w14:textFill>
                  <w14:solidFill>
                    <w14:schemeClr w14:val="tx1"/>
                  </w14:solidFill>
                </w14:textFill>
              </w:rPr>
              <w:t>招标方式：网上公开招标</w:t>
            </w:r>
          </w:p>
        </w:tc>
      </w:tr>
      <w:tr w14:paraId="67813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54" w:hRule="atLeast"/>
        </w:trPr>
        <w:tc>
          <w:tcPr>
            <w:tcW w:w="318" w:type="pct"/>
            <w:tcBorders>
              <w:tl2br w:val="nil"/>
              <w:tr2bl w:val="nil"/>
            </w:tcBorders>
          </w:tcPr>
          <w:p w14:paraId="56055342">
            <w:pPr>
              <w:pStyle w:val="10"/>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1E1851B1">
            <w:pPr>
              <w:pStyle w:val="10"/>
              <w:spacing w:before="3"/>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206E4947">
            <w:pPr>
              <w:pStyle w:val="10"/>
              <w:ind w:left="120"/>
              <w:jc w:val="center"/>
              <w:rPr>
                <w:rFonts w:hint="default" w:ascii="Times New Roman" w:hAnsi="Times New Roman" w:eastAsia="仿宋_GB2312" w:cs="Times New Roman"/>
                <w:color w:val="000000" w:themeColor="text1"/>
                <w:sz w:val="30"/>
                <w:szCs w:val="30"/>
                <w14:textFill>
                  <w14:solidFill>
                    <w14:schemeClr w14:val="tx1"/>
                  </w14:solidFill>
                </w14:textFill>
              </w:rPr>
            </w:pPr>
            <w:r>
              <w:rPr>
                <w:rFonts w:hint="default" w:ascii="Times New Roman" w:hAnsi="Times New Roman" w:eastAsia="仿宋_GB2312" w:cs="Times New Roman"/>
                <w:color w:val="000000" w:themeColor="text1"/>
                <w:w w:val="99"/>
                <w:sz w:val="30"/>
                <w:szCs w:val="30"/>
                <w14:textFill>
                  <w14:solidFill>
                    <w14:schemeClr w14:val="tx1"/>
                  </w14:solidFill>
                </w14:textFill>
              </w:rPr>
              <w:t>2</w:t>
            </w:r>
          </w:p>
        </w:tc>
        <w:tc>
          <w:tcPr>
            <w:tcW w:w="329" w:type="pct"/>
            <w:tcBorders>
              <w:tl2br w:val="nil"/>
              <w:tr2bl w:val="nil"/>
            </w:tcBorders>
          </w:tcPr>
          <w:p w14:paraId="1ED3A827">
            <w:pPr>
              <w:pStyle w:val="10"/>
              <w:spacing w:line="240" w:lineRule="auto"/>
              <w:rPr>
                <w:rFonts w:hint="default" w:ascii="Times New Roman" w:hAnsi="Times New Roman" w:eastAsia="仿宋_GB2312" w:cs="Times New Roman"/>
                <w:b/>
                <w:color w:val="000000" w:themeColor="text1"/>
                <w:sz w:val="30"/>
                <w:szCs w:val="30"/>
                <w:highlight w:val="none"/>
                <w14:textFill>
                  <w14:solidFill>
                    <w14:schemeClr w14:val="tx1"/>
                  </w14:solidFill>
                </w14:textFill>
              </w:rPr>
            </w:pPr>
          </w:p>
          <w:p w14:paraId="41179AA4">
            <w:pPr>
              <w:pStyle w:val="10"/>
              <w:spacing w:before="14" w:line="240" w:lineRule="auto"/>
              <w:jc w:val="center"/>
              <w:rPr>
                <w:rFonts w:hint="default" w:ascii="Times New Roman" w:hAnsi="Times New Roman" w:eastAsia="仿宋_GB2312" w:cs="Times New Roman"/>
                <w:b/>
                <w:color w:val="000000" w:themeColor="text1"/>
                <w:sz w:val="30"/>
                <w:szCs w:val="30"/>
                <w:highlight w:val="none"/>
                <w14:textFill>
                  <w14:solidFill>
                    <w14:schemeClr w14:val="tx1"/>
                  </w14:solidFill>
                </w14:textFill>
              </w:rPr>
            </w:pPr>
          </w:p>
          <w:p w14:paraId="63C0ED63">
            <w:pPr>
              <w:pStyle w:val="10"/>
              <w:spacing w:line="240" w:lineRule="auto"/>
              <w:ind w:left="5" w:right="109"/>
              <w:jc w:val="center"/>
              <w:rPr>
                <w:rFonts w:hint="default" w:ascii="Times New Roman" w:hAnsi="Times New Roman" w:eastAsia="仿宋_GB2312" w:cs="Times New Roman"/>
                <w:color w:val="000000" w:themeColor="text1"/>
                <w:sz w:val="30"/>
                <w:szCs w:val="30"/>
                <w:highlight w:val="none"/>
                <w14:textFill>
                  <w14:solidFill>
                    <w14:schemeClr w14:val="tx1"/>
                  </w14:solidFill>
                </w14:textFill>
              </w:rPr>
            </w:pPr>
            <w:r>
              <w:rPr>
                <w:rFonts w:hint="default" w:ascii="Times New Roman" w:hAnsi="Times New Roman" w:eastAsia="仿宋_GB2312" w:cs="Times New Roman"/>
                <w:color w:val="000000" w:themeColor="text1"/>
                <w:sz w:val="30"/>
                <w:szCs w:val="30"/>
                <w:highlight w:val="none"/>
                <w14:textFill>
                  <w14:solidFill>
                    <w14:schemeClr w14:val="tx1"/>
                  </w14:solidFill>
                </w14:textFill>
              </w:rPr>
              <w:t>招标时间</w:t>
            </w:r>
          </w:p>
        </w:tc>
        <w:tc>
          <w:tcPr>
            <w:tcW w:w="4352" w:type="pct"/>
            <w:tcBorders>
              <w:tl2br w:val="nil"/>
              <w:tr2bl w:val="nil"/>
            </w:tcBorders>
          </w:tcPr>
          <w:p w14:paraId="1BC20303">
            <w:pPr>
              <w:pStyle w:val="10"/>
              <w:spacing w:before="97" w:line="240" w:lineRule="auto"/>
              <w:ind w:left="1"/>
              <w:rPr>
                <w:rFonts w:hint="default" w:ascii="Times New Roman" w:hAnsi="Times New Roman" w:eastAsia="仿宋_GB2312" w:cs="Times New Roman"/>
                <w:color w:val="000000" w:themeColor="text1"/>
                <w:sz w:val="30"/>
                <w:szCs w:val="30"/>
                <w:highlight w:val="none"/>
                <w:lang w:val="en-US"/>
                <w14:textFill>
                  <w14:solidFill>
                    <w14:schemeClr w14:val="tx1"/>
                  </w14:solidFill>
                </w14:textFill>
              </w:rPr>
            </w:pPr>
            <w:r>
              <w:rPr>
                <w:rFonts w:hint="default" w:ascii="Times New Roman" w:hAnsi="Times New Roman" w:eastAsia="仿宋_GB2312" w:cs="Times New Roman"/>
                <w:color w:val="000000" w:themeColor="text1"/>
                <w:sz w:val="30"/>
                <w:szCs w:val="30"/>
                <w:highlight w:val="none"/>
                <w:lang w:eastAsia="zh-CN"/>
                <w14:textFill>
                  <w14:solidFill>
                    <w14:schemeClr w14:val="tx1"/>
                  </w14:solidFill>
                </w14:textFill>
              </w:rPr>
              <w:t>①</w:t>
            </w:r>
            <w:r>
              <w:rPr>
                <w:rFonts w:hint="default" w:ascii="Times New Roman" w:hAnsi="Times New Roman" w:eastAsia="仿宋_GB2312" w:cs="Times New Roman"/>
                <w:color w:val="000000" w:themeColor="text1"/>
                <w:sz w:val="30"/>
                <w:szCs w:val="30"/>
                <w:highlight w:val="none"/>
                <w14:textFill>
                  <w14:solidFill>
                    <w14:schemeClr w14:val="tx1"/>
                  </w14:solidFill>
                </w14:textFill>
              </w:rPr>
              <w:t>投标报名截止时间：</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202</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月</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7</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日</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下午4</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点</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前</w:t>
            </w:r>
          </w:p>
          <w:p w14:paraId="4EB1D43E">
            <w:pPr>
              <w:pStyle w:val="10"/>
              <w:spacing w:before="111" w:line="240" w:lineRule="auto"/>
              <w:ind w:left="1"/>
              <w:rPr>
                <w:rFonts w:hint="default" w:ascii="Times New Roman" w:hAnsi="Times New Roman" w:eastAsia="仿宋_GB2312" w:cs="Times New Roman"/>
                <w:color w:val="000000" w:themeColor="text1"/>
                <w:sz w:val="30"/>
                <w:szCs w:val="30"/>
                <w:highlight w:val="none"/>
                <w:u w:val="single"/>
                <w:lang w:val="en-US"/>
                <w14:textFill>
                  <w14:solidFill>
                    <w14:schemeClr w14:val="tx1"/>
                  </w14:solidFill>
                </w14:textFill>
              </w:rPr>
            </w:pPr>
            <w:r>
              <w:rPr>
                <w:rFonts w:hint="default" w:ascii="Times New Roman" w:hAnsi="Times New Roman" w:eastAsia="仿宋_GB2312" w:cs="Times New Roman"/>
                <w:color w:val="000000" w:themeColor="text1"/>
                <w:sz w:val="30"/>
                <w:szCs w:val="30"/>
                <w:highlight w:val="none"/>
                <w:lang w:eastAsia="zh-CN"/>
                <w14:textFill>
                  <w14:solidFill>
                    <w14:schemeClr w14:val="tx1"/>
                  </w14:solidFill>
                </w14:textFill>
              </w:rPr>
              <w:t>②</w:t>
            </w:r>
            <w:r>
              <w:rPr>
                <w:rFonts w:hint="default" w:ascii="Times New Roman" w:hAnsi="Times New Roman" w:eastAsia="仿宋_GB2312" w:cs="Times New Roman"/>
                <w:color w:val="000000" w:themeColor="text1"/>
                <w:sz w:val="30"/>
                <w:szCs w:val="30"/>
                <w:highlight w:val="none"/>
                <w14:textFill>
                  <w14:solidFill>
                    <w14:schemeClr w14:val="tx1"/>
                  </w14:solidFill>
                </w14:textFill>
              </w:rPr>
              <w:t>招标文件解答时间：</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202</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月</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日</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12点</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前</w:t>
            </w:r>
            <w:bookmarkStart w:id="0" w:name="_GoBack"/>
            <w:bookmarkEnd w:id="0"/>
          </w:p>
          <w:p w14:paraId="1F70EE3F">
            <w:pPr>
              <w:pStyle w:val="10"/>
              <w:spacing w:line="240" w:lineRule="auto"/>
              <w:ind w:left="1"/>
              <w:rPr>
                <w:rFonts w:hint="default" w:ascii="Times New Roman" w:hAnsi="Times New Roman" w:eastAsia="仿宋_GB2312" w:cs="Times New Roman"/>
                <w:color w:val="000000" w:themeColor="text1"/>
                <w:sz w:val="30"/>
                <w:szCs w:val="30"/>
                <w:highlight w:val="none"/>
                <w:lang w:val="en-US"/>
                <w14:textFill>
                  <w14:solidFill>
                    <w14:schemeClr w14:val="tx1"/>
                  </w14:solidFill>
                </w14:textFill>
              </w:rPr>
            </w:pPr>
            <w:r>
              <w:rPr>
                <w:rFonts w:hint="default" w:ascii="Times New Roman" w:hAnsi="Times New Roman" w:eastAsia="仿宋_GB2312" w:cs="Times New Roman"/>
                <w:color w:val="000000" w:themeColor="text1"/>
                <w:sz w:val="30"/>
                <w:szCs w:val="30"/>
                <w:highlight w:val="none"/>
                <w:lang w:eastAsia="zh-CN"/>
                <w14:textFill>
                  <w14:solidFill>
                    <w14:schemeClr w14:val="tx1"/>
                  </w14:solidFill>
                </w14:textFill>
              </w:rPr>
              <w:t>③</w:t>
            </w:r>
            <w:r>
              <w:rPr>
                <w:rFonts w:hint="default" w:ascii="Times New Roman" w:hAnsi="Times New Roman" w:eastAsia="仿宋_GB2312" w:cs="Times New Roman"/>
                <w:color w:val="000000" w:themeColor="text1"/>
                <w:sz w:val="30"/>
                <w:szCs w:val="30"/>
                <w:highlight w:val="none"/>
                <w14:textFill>
                  <w14:solidFill>
                    <w14:schemeClr w14:val="tx1"/>
                  </w14:solidFill>
                </w14:textFill>
              </w:rPr>
              <w:t>投标时间：</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202</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月</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日</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上午9</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3</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0</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前</w:t>
            </w:r>
          </w:p>
          <w:p w14:paraId="1C84BBE2">
            <w:pPr>
              <w:pStyle w:val="10"/>
              <w:spacing w:before="109" w:line="240" w:lineRule="auto"/>
              <w:ind w:left="1"/>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highlight w:val="none"/>
                <w:lang w:eastAsia="zh-CN"/>
                <w14:textFill>
                  <w14:solidFill>
                    <w14:schemeClr w14:val="tx1"/>
                  </w14:solidFill>
                </w14:textFill>
              </w:rPr>
              <w:t>④</w:t>
            </w:r>
            <w:r>
              <w:rPr>
                <w:rFonts w:hint="default" w:ascii="Times New Roman" w:hAnsi="Times New Roman" w:eastAsia="仿宋_GB2312" w:cs="Times New Roman"/>
                <w:color w:val="000000" w:themeColor="text1"/>
                <w:sz w:val="30"/>
                <w:szCs w:val="30"/>
                <w:highlight w:val="none"/>
                <w14:textFill>
                  <w14:solidFill>
                    <w14:schemeClr w14:val="tx1"/>
                  </w14:solidFill>
                </w14:textFill>
              </w:rPr>
              <w:t>开标时间：</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202</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6</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年</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月</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8</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日</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上</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午</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10</w:t>
            </w:r>
            <w:r>
              <w:rPr>
                <w:rFonts w:hint="default"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w:t>
            </w:r>
            <w:r>
              <w:rPr>
                <w:rFonts w:hint="eastAsia" w:ascii="Times New Roman" w:hAnsi="Times New Roman" w:eastAsia="仿宋_GB2312" w:cs="Times New Roman"/>
                <w:color w:val="000000" w:themeColor="text1"/>
                <w:sz w:val="30"/>
                <w:szCs w:val="30"/>
                <w:highlight w:val="none"/>
                <w:u w:val="single"/>
                <w:lang w:val="en-US" w:eastAsia="zh-CN"/>
                <w14:textFill>
                  <w14:solidFill>
                    <w14:schemeClr w14:val="tx1"/>
                  </w14:solidFill>
                </w14:textFill>
              </w:rPr>
              <w:t>00</w:t>
            </w:r>
          </w:p>
          <w:p w14:paraId="016B5596">
            <w:pPr>
              <w:pStyle w:val="10"/>
              <w:spacing w:before="109" w:line="240" w:lineRule="auto"/>
              <w:ind w:left="1"/>
              <w:rPr>
                <w:rFonts w:hint="default" w:ascii="Times New Roman" w:hAnsi="Times New Roman" w:eastAsia="仿宋_GB2312" w:cs="Times New Roman"/>
                <w:color w:val="000000" w:themeColor="text1"/>
                <w:sz w:val="30"/>
                <w:szCs w:val="30"/>
                <w:highlight w:val="none"/>
                <w14:textFill>
                  <w14:solidFill>
                    <w14:schemeClr w14:val="tx1"/>
                  </w14:solidFill>
                </w14:textFill>
              </w:rPr>
            </w:pPr>
            <w:r>
              <w:rPr>
                <w:rFonts w:hint="default" w:ascii="Times New Roman" w:hAnsi="Times New Roman" w:eastAsia="仿宋_GB2312" w:cs="Times New Roman"/>
                <w:color w:val="000000" w:themeColor="text1"/>
                <w:sz w:val="30"/>
                <w:szCs w:val="30"/>
                <w:highlight w:val="none"/>
                <w14:textFill>
                  <w14:solidFill>
                    <w14:schemeClr w14:val="tx1"/>
                  </w14:solidFill>
                </w14:textFill>
              </w:rPr>
              <w:t>上述时间、地点如有变动，以招标人的通知为准。</w:t>
            </w:r>
          </w:p>
        </w:tc>
      </w:tr>
      <w:tr w14:paraId="14E87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318" w:type="pct"/>
            <w:tcBorders>
              <w:tl2br w:val="nil"/>
              <w:tr2bl w:val="nil"/>
            </w:tcBorders>
            <w:vAlign w:val="top"/>
          </w:tcPr>
          <w:p w14:paraId="52DF6483">
            <w:pPr>
              <w:pStyle w:val="10"/>
              <w:spacing w:before="1"/>
              <w:jc w:val="cente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pPr>
          </w:p>
          <w:p w14:paraId="3ABAB0D9">
            <w:pPr>
              <w:pStyle w:val="10"/>
              <w:spacing w:before="1"/>
              <w:jc w:val="cente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t>3</w:t>
            </w:r>
          </w:p>
        </w:tc>
        <w:tc>
          <w:tcPr>
            <w:tcW w:w="4681" w:type="pct"/>
            <w:gridSpan w:val="2"/>
            <w:tcBorders>
              <w:tl2br w:val="nil"/>
              <w:tr2bl w:val="nil"/>
            </w:tcBorders>
          </w:tcPr>
          <w:p w14:paraId="17281F40">
            <w:pPr>
              <w:pStyle w:val="10"/>
              <w:tabs>
                <w:tab w:val="left" w:pos="2560"/>
                <w:tab w:val="left" w:pos="6400"/>
              </w:tabs>
              <w:spacing w:before="97" w:line="240" w:lineRule="auto"/>
              <w:ind w:left="2561" w:right="0" w:hanging="2559"/>
              <w:rPr>
                <w:rFonts w:hint="default" w:ascii="Times New Roman" w:hAnsi="Times New Roman" w:eastAsia="仿宋_GB2312" w:cs="Times New Roman"/>
                <w:color w:val="000000" w:themeColor="text1"/>
                <w:spacing w:val="-6"/>
                <w:sz w:val="30"/>
                <w:szCs w:val="30"/>
                <w:highlight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0"/>
                <w:szCs w:val="30"/>
                <w:highlight w:val="none"/>
                <w14:textFill>
                  <w14:solidFill>
                    <w14:schemeClr w14:val="tx1"/>
                  </w14:solidFill>
                </w14:textFill>
              </w:rPr>
              <w:t>投标答疑联系人</w:t>
            </w:r>
            <w:r>
              <w:rPr>
                <w:rFonts w:hint="default" w:ascii="Times New Roman" w:hAnsi="Times New Roman" w:eastAsia="仿宋_GB2312" w:cs="Times New Roman"/>
                <w:color w:val="000000" w:themeColor="text1"/>
                <w:sz w:val="30"/>
                <w:szCs w:val="30"/>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pacing w:val="-6"/>
                <w:sz w:val="30"/>
                <w:szCs w:val="30"/>
                <w:highlight w:val="none"/>
                <w:u w:val="single"/>
                <w:lang w:val="en-US" w:eastAsia="zh-CN"/>
                <w14:textFill>
                  <w14:solidFill>
                    <w14:schemeClr w14:val="tx1"/>
                  </w14:solidFill>
                </w14:textFill>
              </w:rPr>
              <w:t xml:space="preserve"> </w:t>
            </w:r>
            <w:r>
              <w:rPr>
                <w:rFonts w:hint="eastAsia" w:ascii="Times New Roman" w:hAnsi="Times New Roman" w:eastAsia="仿宋_GB2312" w:cs="Times New Roman"/>
                <w:color w:val="000000" w:themeColor="text1"/>
                <w:spacing w:val="-6"/>
                <w:sz w:val="30"/>
                <w:szCs w:val="30"/>
                <w:highlight w:val="none"/>
                <w:u w:val="single"/>
                <w:lang w:val="en-US" w:eastAsia="zh-CN"/>
                <w14:textFill>
                  <w14:solidFill>
                    <w14:schemeClr w14:val="tx1"/>
                  </w14:solidFill>
                </w14:textFill>
              </w:rPr>
              <w:t>梁榕强</w:t>
            </w:r>
            <w:r>
              <w:rPr>
                <w:rFonts w:hint="default" w:ascii="Times New Roman" w:hAnsi="Times New Roman" w:eastAsia="仿宋_GB2312" w:cs="Times New Roman"/>
                <w:color w:val="000000" w:themeColor="text1"/>
                <w:spacing w:val="-6"/>
                <w:sz w:val="30"/>
                <w:szCs w:val="30"/>
                <w:highlight w:val="none"/>
                <w:u w:val="single"/>
                <w:lang w:val="en-US" w:eastAsia="zh-CN"/>
                <w14:textFill>
                  <w14:solidFill>
                    <w14:schemeClr w14:val="tx1"/>
                  </w14:solidFill>
                </w14:textFill>
              </w:rPr>
              <w:t xml:space="preserve">  13</w:t>
            </w:r>
            <w:r>
              <w:rPr>
                <w:rFonts w:hint="eastAsia" w:ascii="Times New Roman" w:hAnsi="Times New Roman" w:eastAsia="仿宋_GB2312" w:cs="Times New Roman"/>
                <w:color w:val="000000" w:themeColor="text1"/>
                <w:spacing w:val="-6"/>
                <w:sz w:val="30"/>
                <w:szCs w:val="30"/>
                <w:highlight w:val="none"/>
                <w:u w:val="single"/>
                <w:lang w:val="en-US" w:eastAsia="zh-CN"/>
                <w14:textFill>
                  <w14:solidFill>
                    <w14:schemeClr w14:val="tx1"/>
                  </w14:solidFill>
                </w14:textFill>
              </w:rPr>
              <w:t>751624725</w:t>
            </w:r>
            <w:r>
              <w:rPr>
                <w:rFonts w:hint="default" w:ascii="Times New Roman" w:hAnsi="Times New Roman" w:eastAsia="仿宋_GB2312" w:cs="Times New Roman"/>
                <w:color w:val="000000" w:themeColor="text1"/>
                <w:spacing w:val="-6"/>
                <w:sz w:val="30"/>
                <w:szCs w:val="30"/>
                <w:highlight w:val="none"/>
                <w:u w:val="single"/>
                <w:lang w:val="en-US" w:eastAsia="zh-CN"/>
                <w14:textFill>
                  <w14:solidFill>
                    <w14:schemeClr w14:val="tx1"/>
                  </w14:solidFill>
                </w14:textFill>
              </w:rPr>
              <w:t xml:space="preserve">              </w:t>
            </w:r>
          </w:p>
        </w:tc>
      </w:tr>
      <w:tr w14:paraId="63D1D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4" w:hRule="atLeast"/>
        </w:trPr>
        <w:tc>
          <w:tcPr>
            <w:tcW w:w="318" w:type="pct"/>
            <w:tcBorders>
              <w:tl2br w:val="nil"/>
              <w:tr2bl w:val="nil"/>
            </w:tcBorders>
          </w:tcPr>
          <w:p w14:paraId="240FA7DD">
            <w:pPr>
              <w:pStyle w:val="10"/>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17F3F480">
            <w:pPr>
              <w:pStyle w:val="10"/>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45BA18CF">
            <w:pPr>
              <w:pStyle w:val="10"/>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4D294472">
            <w:pPr>
              <w:pStyle w:val="10"/>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575B6B2B">
            <w:pPr>
              <w:pStyle w:val="10"/>
              <w:spacing w:before="18"/>
              <w:jc w:val="center"/>
              <w:rPr>
                <w:rFonts w:hint="default" w:ascii="Times New Roman" w:hAnsi="Times New Roman" w:eastAsia="仿宋_GB2312" w:cs="Times New Roman"/>
                <w:b/>
                <w:color w:val="000000" w:themeColor="text1"/>
                <w:sz w:val="30"/>
                <w:szCs w:val="30"/>
                <w14:textFill>
                  <w14:solidFill>
                    <w14:schemeClr w14:val="tx1"/>
                  </w14:solidFill>
                </w14:textFill>
              </w:rPr>
            </w:pPr>
          </w:p>
          <w:p w14:paraId="3C1F6826">
            <w:pPr>
              <w:pStyle w:val="10"/>
              <w:ind w:left="120"/>
              <w:jc w:val="center"/>
              <w:rPr>
                <w:rFonts w:hint="default" w:ascii="Times New Roman" w:hAnsi="Times New Roman" w:eastAsia="仿宋_GB2312" w:cs="Times New Roman"/>
                <w:color w:val="000000" w:themeColor="text1"/>
                <w:sz w:val="30"/>
                <w:szCs w:val="30"/>
                <w14:textFill>
                  <w14:solidFill>
                    <w14:schemeClr w14:val="tx1"/>
                  </w14:solidFill>
                </w14:textFill>
              </w:rPr>
            </w:pPr>
            <w:r>
              <w:rPr>
                <w:rFonts w:hint="default" w:ascii="Times New Roman" w:hAnsi="Times New Roman" w:eastAsia="仿宋_GB2312" w:cs="Times New Roman"/>
                <w:color w:val="000000" w:themeColor="text1"/>
                <w:w w:val="99"/>
                <w:sz w:val="30"/>
                <w:szCs w:val="30"/>
                <w14:textFill>
                  <w14:solidFill>
                    <w14:schemeClr w14:val="tx1"/>
                  </w14:solidFill>
                </w14:textFill>
              </w:rPr>
              <w:t>4</w:t>
            </w:r>
          </w:p>
        </w:tc>
        <w:tc>
          <w:tcPr>
            <w:tcW w:w="4681" w:type="pct"/>
            <w:gridSpan w:val="2"/>
            <w:tcBorders>
              <w:tl2br w:val="nil"/>
              <w:tr2bl w:val="nil"/>
            </w:tcBorders>
          </w:tcPr>
          <w:p w14:paraId="19CA1AB9">
            <w:pPr>
              <w:bidi w:val="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投标人资质要求</w:t>
            </w:r>
          </w:p>
          <w:p w14:paraId="57408072">
            <w:pPr>
              <w:bidi w:val="0"/>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val="en-US" w:eastAsia="zh-CN"/>
              </w:rPr>
              <w:t>（1）</w:t>
            </w:r>
            <w:r>
              <w:rPr>
                <w:rFonts w:hint="default" w:ascii="Times New Roman" w:hAnsi="Times New Roman" w:eastAsia="仿宋_GB2312" w:cs="Times New Roman"/>
                <w:sz w:val="30"/>
                <w:szCs w:val="30"/>
                <w:lang w:eastAsia="zh-CN"/>
              </w:rPr>
              <w:t>在中华人民共和国境内注册的具有运输许可资质的企业单位、</w:t>
            </w:r>
          </w:p>
          <w:p w14:paraId="62AEA288">
            <w:pPr>
              <w:bidi w:val="0"/>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eastAsia="zh-CN"/>
              </w:rPr>
              <w:t>经济实体和个体工商户，自然人。且未列入温氏集团运输黑名单围；</w:t>
            </w:r>
          </w:p>
          <w:p w14:paraId="7114E219">
            <w:pPr>
              <w:bidi w:val="0"/>
              <w:rPr>
                <w:rFonts w:hint="default" w:ascii="Times New Roman" w:hAnsi="Times New Roman" w:eastAsia="仿宋_GB2312" w:cs="Times New Roman"/>
                <w:sz w:val="30"/>
                <w:szCs w:val="30"/>
                <w:lang w:eastAsia="zh-CN"/>
              </w:rPr>
            </w:pPr>
            <w:r>
              <w:rPr>
                <w:rFonts w:hint="default" w:ascii="Times New Roman" w:hAnsi="Times New Roman" w:eastAsia="仿宋_GB2312" w:cs="Times New Roman"/>
                <w:sz w:val="30"/>
                <w:szCs w:val="30"/>
                <w:lang w:eastAsia="zh-CN"/>
              </w:rPr>
              <w:t>保证确实拥有车辆的所有权或合法的使用权，并在国家规定的时间内负责办理有关车辆登记、年审、缴费、备案等有关法律、法规、规章及政策要求的手续；</w:t>
            </w:r>
          </w:p>
          <w:p w14:paraId="71EC43AC">
            <w:pPr>
              <w:bidi w:val="0"/>
              <w:rPr>
                <w:rFonts w:hint="default" w:ascii="Times New Roman" w:hAnsi="Times New Roman" w:eastAsia="仿宋_GB2312" w:cs="Times New Roman"/>
                <w:sz w:val="30"/>
                <w:szCs w:val="30"/>
                <w:highlight w:val="yellow"/>
                <w:lang w:val="en-US" w:eastAsia="zh-CN"/>
              </w:rPr>
            </w:pPr>
            <w:r>
              <w:rPr>
                <w:rFonts w:hint="default" w:ascii="Times New Roman" w:hAnsi="Times New Roman" w:eastAsia="仿宋_GB2312" w:cs="Times New Roman"/>
                <w:sz w:val="30"/>
                <w:szCs w:val="30"/>
                <w:lang w:val="en-US" w:eastAsia="zh-CN"/>
              </w:rPr>
              <w:t>（2）投标人必须保证充足的运力，以上车辆规格要求均为敞开车，车辆配置数量需要满足招标人的运输需求，具体运输车辆数量至少配置</w:t>
            </w: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辆以上（</w:t>
            </w:r>
            <w:r>
              <w:rPr>
                <w:rFonts w:hint="eastAsia" w:ascii="Times New Roman" w:hAnsi="Times New Roman" w:eastAsia="仿宋_GB2312" w:cs="Times New Roman"/>
                <w:sz w:val="30"/>
                <w:szCs w:val="30"/>
                <w:lang w:val="en-US" w:eastAsia="zh-CN"/>
              </w:rPr>
              <w:t>2</w:t>
            </w:r>
            <w:r>
              <w:rPr>
                <w:rFonts w:hint="default" w:ascii="Times New Roman" w:hAnsi="Times New Roman" w:eastAsia="仿宋_GB2312" w:cs="Times New Roman"/>
                <w:sz w:val="30"/>
                <w:szCs w:val="30"/>
                <w:lang w:val="en-US" w:eastAsia="zh-CN"/>
              </w:rPr>
              <w:t>台6.8米）；</w:t>
            </w:r>
          </w:p>
          <w:p w14:paraId="68291F3E">
            <w:pPr>
              <w:bidi w:val="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lang w:val="en-US" w:eastAsia="zh-CN"/>
              </w:rPr>
              <w:fldChar w:fldCharType="begin"/>
            </w:r>
            <w:r>
              <w:instrText xml:space="preserve"> LINK Word.Document.12 "E:\\经营组\\经营组\\内控监察\\工作重点\\运输统筹\\无价值种用招投标\\猪业一部粤西养猪公司运输招投标公告.docx" "OLE_LINK1" \t \a  \* MERGEFORMAT</w:instrText>
            </w:r>
            <w:r>
              <w:rPr>
                <w:rFonts w:hint="default" w:ascii="Times New Roman" w:hAnsi="Times New Roman" w:eastAsia="仿宋_GB2312" w:cs="Times New Roman"/>
                <w:sz w:val="30"/>
                <w:szCs w:val="30"/>
                <w:lang w:val="en-US" w:eastAsia="zh-CN"/>
              </w:rPr>
              <w:fldChar w:fldCharType="separate"/>
            </w:r>
            <w:r>
              <w:rPr>
                <w:rFonts w:hint="eastAsia" w:ascii="Times New Roman" w:hAnsi="Times New Roman" w:eastAsia="仿宋_GB2312" w:cs="Times New Roman"/>
                <w:sz w:val="30"/>
                <w:szCs w:val="30"/>
                <w:lang w:val="en-US" w:eastAsia="zh-CN"/>
              </w:rPr>
              <w:t>投标人配置的运输车辆必须为专业猪只运输车辆，车辆具备加装行车记录仪、GPS定位设备等监控设备，接受公司检查车辆行驶轨迹。</w:t>
            </w:r>
            <w:r>
              <w:rPr>
                <w:rFonts w:hint="default" w:ascii="Times New Roman" w:hAnsi="Times New Roman" w:eastAsia="仿宋_GB2312" w:cs="Times New Roman"/>
                <w:sz w:val="30"/>
                <w:szCs w:val="30"/>
                <w:lang w:val="en-US" w:eastAsia="zh-CN"/>
              </w:rPr>
              <w:fldChar w:fldCharType="end"/>
            </w:r>
          </w:p>
          <w:p w14:paraId="6665F4A5">
            <w:pPr>
              <w:bidi w:val="0"/>
              <w:rPr>
                <w:rFonts w:hint="default" w:ascii="Times New Roman" w:hAnsi="Times New Roman" w:eastAsia="仿宋_GB2312" w:cs="Times New Roman"/>
                <w:sz w:val="30"/>
                <w:szCs w:val="30"/>
                <w:lang w:val="en-US" w:eastAsia="zh-CN"/>
              </w:rPr>
            </w:pPr>
            <w:r>
              <w:rPr>
                <w:rFonts w:hint="default" w:ascii="Times New Roman" w:hAnsi="Times New Roman" w:eastAsia="仿宋_GB2312" w:cs="Times New Roman"/>
                <w:sz w:val="30"/>
                <w:szCs w:val="30"/>
                <w:lang w:val="en-US" w:eastAsia="zh-CN"/>
              </w:rPr>
              <w:t>（4）投标人的运输车辆和司机必须严格遵守公司的防疫管理制度，运输车辆在装车前须彻底清扫和清洗干净车厢并做好消毒防疫，确保车厢的干净整洁。车辆进入公司区域前须做好冲洗消毒，司机做好洗澡消毒更换工作服等防疫消毒工作，并服从仓管调度，自觉排队，同时在场区内严禁烟火，司机进场后不得随意下车在场区内随意走动。猪只卸车完毕后须及时到公司消毒中心进行消毒后方能开展下次运输业务。若有违公司有权对承运商进行处罚并要求其整改，若屡错不改者视为违约，公司有权终止合同（若发现1次违规处以500元/次的处罚，3次以上视乙方为违约，有权终止合同）具体要求以合同签订为准。</w:t>
            </w:r>
          </w:p>
          <w:p w14:paraId="3D8E0694">
            <w:pPr>
              <w:pStyle w:val="10"/>
              <w:numPr>
                <w:ilvl w:val="0"/>
                <w:numId w:val="0"/>
              </w:numPr>
              <w:tabs>
                <w:tab w:val="left" w:pos="803"/>
              </w:tabs>
              <w:spacing w:before="70" w:after="0" w:line="240" w:lineRule="auto"/>
              <w:ind w:right="112" w:rightChars="0"/>
              <w:jc w:val="left"/>
              <w:rPr>
                <w:rFonts w:hint="default" w:ascii="Times New Roman" w:hAnsi="Times New Roman" w:eastAsia="仿宋_GB2312" w:cs="Times New Roman"/>
                <w:b/>
                <w:color w:val="000000" w:themeColor="text1"/>
                <w:sz w:val="30"/>
                <w:szCs w:val="30"/>
                <w:lang w:eastAsia="zh-CN"/>
                <w14:textFill>
                  <w14:solidFill>
                    <w14:schemeClr w14:val="tx1"/>
                  </w14:solidFill>
                </w14:textFill>
              </w:rPr>
            </w:pPr>
            <w:r>
              <w:rPr>
                <w:rFonts w:hint="default" w:ascii="Times New Roman" w:hAnsi="Times New Roman" w:eastAsia="仿宋_GB2312" w:cs="Times New Roman"/>
                <w:sz w:val="30"/>
                <w:szCs w:val="30"/>
                <w:lang w:val="en-US" w:eastAsia="zh-CN" w:bidi="ar-SA"/>
              </w:rPr>
              <w:t>（5）防疫要求因生物安全要求而变化，所有承运车辆均须遵守招标人对应公司的防疫要求并签署防疫保证书。</w:t>
            </w:r>
          </w:p>
        </w:tc>
      </w:tr>
    </w:tbl>
    <w:p w14:paraId="00AA35B1">
      <w:pPr>
        <w:pStyle w:val="4"/>
        <w:spacing w:line="240" w:lineRule="auto"/>
        <w:ind w:left="0" w:right="0"/>
        <w:jc w:val="both"/>
        <w:sectPr>
          <w:pgSz w:w="11910" w:h="16840"/>
          <w:pgMar w:top="1440" w:right="720" w:bottom="1380" w:left="1100" w:header="0" w:footer="1194" w:gutter="0"/>
          <w:pgBorders>
            <w:top w:val="none" w:sz="0" w:space="0"/>
            <w:left w:val="none" w:sz="0" w:space="0"/>
            <w:bottom w:val="none" w:sz="0" w:space="0"/>
            <w:right w:val="none" w:sz="0" w:space="0"/>
          </w:pgBorders>
          <w:cols w:space="720" w:num="1"/>
        </w:sectPr>
      </w:pPr>
    </w:p>
    <w:p w14:paraId="387568E1">
      <w:pPr>
        <w:keepNext w:val="0"/>
        <w:keepLines w:val="0"/>
        <w:pageBreakBefore w:val="0"/>
        <w:widowControl w:val="0"/>
        <w:kinsoku/>
        <w:wordWrap/>
        <w:overflowPunct/>
        <w:topLinePunct w:val="0"/>
        <w:bidi w:val="0"/>
        <w:adjustRightInd/>
        <w:snapToGrid/>
        <w:spacing w:before="0" w:line="508" w:lineRule="exact"/>
        <w:ind w:right="0" w:firstLine="602" w:firstLineChars="200"/>
        <w:jc w:val="left"/>
        <w:textAlignment w:val="auto"/>
        <w:rPr>
          <w:rFonts w:hint="eastAsia" w:ascii="仿宋_GB2312" w:hAnsi="仿宋_GB2312" w:eastAsia="仿宋_GB2312" w:cs="仿宋_GB2312"/>
          <w:b/>
          <w:color w:val="000000" w:themeColor="text1"/>
          <w:sz w:val="30"/>
          <w:szCs w:val="30"/>
          <w14:textFill>
            <w14:solidFill>
              <w14:schemeClr w14:val="tx1"/>
            </w14:solidFill>
          </w14:textFill>
        </w:rPr>
      </w:pPr>
      <w:r>
        <w:rPr>
          <w:rFonts w:hint="eastAsia" w:ascii="仿宋_GB2312" w:hAnsi="仿宋_GB2312" w:eastAsia="仿宋_GB2312" w:cs="仿宋_GB2312"/>
          <w:b/>
          <w:color w:val="000000" w:themeColor="text1"/>
          <w:sz w:val="30"/>
          <w:szCs w:val="30"/>
          <w14:textFill>
            <w14:solidFill>
              <w14:schemeClr w14:val="tx1"/>
            </w14:solidFill>
          </w14:textFill>
        </w:rPr>
        <w:t>（一）保密责任</w:t>
      </w:r>
      <w:r>
        <w:drawing>
          <wp:anchor distT="0" distB="0" distL="114300" distR="114300" simplePos="0" relativeHeight="251661312" behindDoc="0" locked="0" layoutInCell="1" allowOverlap="1">
            <wp:simplePos x="0" y="0"/>
            <wp:positionH relativeFrom="column">
              <wp:posOffset>5601335</wp:posOffset>
            </wp:positionH>
            <wp:positionV relativeFrom="paragraph">
              <wp:posOffset>-547370</wp:posOffset>
            </wp:positionV>
            <wp:extent cx="646430" cy="431800"/>
            <wp:effectExtent l="0" t="0" r="1270" b="6350"/>
            <wp:wrapSquare wrapText="bothSides"/>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46430" cy="431800"/>
                    </a:xfrm>
                    <a:prstGeom prst="rect">
                      <a:avLst/>
                    </a:prstGeom>
                  </pic:spPr>
                </pic:pic>
              </a:graphicData>
            </a:graphic>
          </wp:anchor>
        </w:drawing>
      </w:r>
    </w:p>
    <w:p w14:paraId="070CF675">
      <w:pPr>
        <w:pStyle w:val="6"/>
        <w:keepNext w:val="0"/>
        <w:keepLines w:val="0"/>
        <w:pageBreakBefore w:val="0"/>
        <w:widowControl w:val="0"/>
        <w:kinsoku/>
        <w:wordWrap/>
        <w:overflowPunct/>
        <w:topLinePunct w:val="0"/>
        <w:bidi w:val="0"/>
        <w:adjustRightInd/>
        <w:snapToGrid/>
        <w:spacing w:before="0" w:line="280" w:lineRule="auto"/>
        <w:ind w:right="509" w:firstLine="640"/>
        <w:jc w:val="both"/>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pacing w:val="-8"/>
          <w:sz w:val="30"/>
          <w:szCs w:val="30"/>
          <w14:textFill>
            <w14:solidFill>
              <w14:schemeClr w14:val="tx1"/>
            </w14:solidFill>
          </w14:textFill>
        </w:rPr>
        <w:t>投标人对招标文件和相关资料必须承担保密责任。未经招标人的</w:t>
      </w:r>
      <w:r>
        <w:rPr>
          <w:rFonts w:hint="eastAsia" w:ascii="仿宋_GB2312" w:hAnsi="仿宋_GB2312" w:eastAsia="仿宋_GB2312" w:cs="仿宋_GB2312"/>
          <w:color w:val="000000" w:themeColor="text1"/>
          <w:spacing w:val="-14"/>
          <w:sz w:val="30"/>
          <w:szCs w:val="30"/>
          <w14:textFill>
            <w14:solidFill>
              <w14:schemeClr w14:val="tx1"/>
            </w14:solidFill>
          </w14:textFill>
        </w:rPr>
        <w:t>书面同意，不得向任何第三方以任何方式泄露。如有违反，将承担一切法律责任和后果。</w:t>
      </w:r>
    </w:p>
    <w:p w14:paraId="335FB92F">
      <w:pPr>
        <w:pStyle w:val="4"/>
        <w:keepNext w:val="0"/>
        <w:keepLines w:val="0"/>
        <w:pageBreakBefore w:val="0"/>
        <w:widowControl w:val="0"/>
        <w:kinsoku/>
        <w:wordWrap/>
        <w:overflowPunct/>
        <w:topLinePunct w:val="0"/>
        <w:bidi w:val="0"/>
        <w:adjustRightInd/>
        <w:snapToGrid/>
        <w:spacing w:before="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（二）标的合同期限</w:t>
      </w:r>
    </w:p>
    <w:p w14:paraId="4A622D6C">
      <w:pPr>
        <w:pStyle w:val="6"/>
        <w:keepNext w:val="0"/>
        <w:keepLines w:val="0"/>
        <w:pageBreakBefore w:val="0"/>
        <w:widowControl w:val="0"/>
        <w:kinsoku/>
        <w:wordWrap/>
        <w:overflowPunct/>
        <w:topLinePunct w:val="0"/>
        <w:bidi w:val="0"/>
        <w:adjustRightInd/>
        <w:snapToGrid/>
        <w:spacing w:before="0" w:line="391" w:lineRule="exact"/>
        <w:ind w:firstLine="600" w:firstLineChars="200"/>
        <w:textAlignment w:val="auto"/>
        <w:rPr>
          <w:rFonts w:hint="eastAsia" w:ascii="仿宋_GB2312" w:hAnsi="仿宋_GB2312" w:eastAsia="仿宋_GB2312" w:cs="仿宋_GB2312"/>
          <w:color w:val="000000" w:themeColor="text1"/>
          <w:sz w:val="30"/>
          <w:szCs w:val="30"/>
          <w:highlight w:val="yellow"/>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本次招投标合同期限为</w:t>
      </w:r>
      <w:r>
        <w:rPr>
          <w:rFonts w:hint="eastAsia" w:ascii="仿宋_GB2312" w:hAnsi="仿宋_GB2312" w:eastAsia="仿宋_GB2312" w:cs="仿宋_GB2312"/>
          <w:color w:val="000000" w:themeColor="text1"/>
          <w:sz w:val="30"/>
          <w:szCs w:val="30"/>
          <w:u w:val="single"/>
          <w14:textFill>
            <w14:solidFill>
              <w14:schemeClr w14:val="tx1"/>
            </w14:solidFill>
          </w14:textFill>
        </w:rPr>
        <w:t>202</w:t>
      </w:r>
      <w:r>
        <w:rPr>
          <w:rFonts w:hint="eastAsia" w:ascii="仿宋_GB2312" w:hAnsi="仿宋_GB2312" w:eastAsia="仿宋_GB2312" w:cs="仿宋_GB2312"/>
          <w:color w:val="000000" w:themeColor="text1"/>
          <w:sz w:val="30"/>
          <w:szCs w:val="30"/>
          <w:u w:val="single"/>
          <w:lang w:val="en-US" w:eastAsia="zh-CN"/>
          <w14:textFill>
            <w14:solidFill>
              <w14:schemeClr w14:val="tx1"/>
            </w14:solidFill>
          </w14:textFill>
        </w:rPr>
        <w:t>6</w:t>
      </w:r>
      <w:r>
        <w:rPr>
          <w:rFonts w:hint="eastAsia" w:ascii="仿宋_GB2312" w:hAnsi="仿宋_GB2312" w:eastAsia="仿宋_GB2312" w:cs="仿宋_GB2312"/>
          <w:color w:val="000000" w:themeColor="text1"/>
          <w:sz w:val="30"/>
          <w:szCs w:val="30"/>
          <w:u w:val="single"/>
          <w14:textFill>
            <w14:solidFill>
              <w14:schemeClr w14:val="tx1"/>
            </w14:solidFill>
          </w14:textFill>
        </w:rPr>
        <w:t>年</w:t>
      </w:r>
      <w:r>
        <w:rPr>
          <w:rFonts w:hint="eastAsia" w:ascii="仿宋_GB2312" w:hAnsi="仿宋_GB2312" w:eastAsia="仿宋_GB2312" w:cs="仿宋_GB2312"/>
          <w:color w:val="000000" w:themeColor="text1"/>
          <w:sz w:val="30"/>
          <w:szCs w:val="30"/>
          <w:u w:val="single"/>
          <w:lang w:val="en-US" w:eastAsia="zh-CN"/>
          <w14:textFill>
            <w14:solidFill>
              <w14:schemeClr w14:val="tx1"/>
            </w14:solidFill>
          </w14:textFill>
        </w:rPr>
        <w:t>8</w:t>
      </w:r>
      <w:r>
        <w:rPr>
          <w:rFonts w:hint="eastAsia" w:ascii="仿宋_GB2312" w:hAnsi="仿宋_GB2312" w:eastAsia="仿宋_GB2312" w:cs="仿宋_GB2312"/>
          <w:color w:val="000000" w:themeColor="text1"/>
          <w:sz w:val="30"/>
          <w:szCs w:val="30"/>
          <w:u w:val="single"/>
          <w14:textFill>
            <w14:solidFill>
              <w14:schemeClr w14:val="tx1"/>
            </w14:solidFill>
          </w14:textFill>
        </w:rPr>
        <w:t>月</w:t>
      </w:r>
      <w:r>
        <w:rPr>
          <w:rFonts w:hint="eastAsia" w:ascii="仿宋_GB2312" w:hAnsi="仿宋_GB2312" w:eastAsia="仿宋_GB2312" w:cs="仿宋_GB2312"/>
          <w:color w:val="000000" w:themeColor="text1"/>
          <w:sz w:val="30"/>
          <w:szCs w:val="30"/>
          <w:u w:val="single"/>
          <w:lang w:val="en-US" w:eastAsia="zh-CN"/>
          <w14:textFill>
            <w14:solidFill>
              <w14:schemeClr w14:val="tx1"/>
            </w14:solidFill>
          </w14:textFill>
        </w:rPr>
        <w:t>10</w:t>
      </w:r>
      <w:r>
        <w:rPr>
          <w:rFonts w:hint="eastAsia" w:ascii="仿宋_GB2312" w:hAnsi="仿宋_GB2312" w:eastAsia="仿宋_GB2312" w:cs="仿宋_GB2312"/>
          <w:color w:val="000000" w:themeColor="text1"/>
          <w:sz w:val="30"/>
          <w:szCs w:val="30"/>
          <w:u w:val="single"/>
          <w14:textFill>
            <w14:solidFill>
              <w14:schemeClr w14:val="tx1"/>
            </w14:solidFill>
          </w14:textFill>
        </w:rPr>
        <w:t>日至202</w:t>
      </w:r>
      <w:r>
        <w:rPr>
          <w:rFonts w:hint="eastAsia" w:ascii="仿宋_GB2312" w:hAnsi="仿宋_GB2312" w:eastAsia="仿宋_GB2312" w:cs="仿宋_GB2312"/>
          <w:color w:val="000000" w:themeColor="text1"/>
          <w:sz w:val="30"/>
          <w:szCs w:val="30"/>
          <w:u w:val="single"/>
          <w:lang w:val="en-US" w:eastAsia="zh-CN"/>
          <w14:textFill>
            <w14:solidFill>
              <w14:schemeClr w14:val="tx1"/>
            </w14:solidFill>
          </w14:textFill>
        </w:rPr>
        <w:t>7</w:t>
      </w:r>
      <w:r>
        <w:rPr>
          <w:rFonts w:hint="eastAsia" w:ascii="仿宋_GB2312" w:hAnsi="仿宋_GB2312" w:eastAsia="仿宋_GB2312" w:cs="仿宋_GB2312"/>
          <w:color w:val="000000" w:themeColor="text1"/>
          <w:sz w:val="30"/>
          <w:szCs w:val="30"/>
          <w:u w:val="single"/>
          <w14:textFill>
            <w14:solidFill>
              <w14:schemeClr w14:val="tx1"/>
            </w14:solidFill>
          </w14:textFill>
        </w:rPr>
        <w:t>年</w:t>
      </w:r>
      <w:r>
        <w:rPr>
          <w:rFonts w:hint="eastAsia" w:ascii="仿宋_GB2312" w:hAnsi="仿宋_GB2312" w:eastAsia="仿宋_GB2312" w:cs="仿宋_GB2312"/>
          <w:color w:val="000000" w:themeColor="text1"/>
          <w:sz w:val="30"/>
          <w:szCs w:val="30"/>
          <w:u w:val="single"/>
          <w:lang w:val="en-US" w:eastAsia="zh-CN"/>
          <w14:textFill>
            <w14:solidFill>
              <w14:schemeClr w14:val="tx1"/>
            </w14:solidFill>
          </w14:textFill>
        </w:rPr>
        <w:t>8</w:t>
      </w:r>
      <w:r>
        <w:rPr>
          <w:rFonts w:hint="eastAsia" w:ascii="仿宋_GB2312" w:hAnsi="仿宋_GB2312" w:eastAsia="仿宋_GB2312" w:cs="仿宋_GB2312"/>
          <w:color w:val="000000" w:themeColor="text1"/>
          <w:sz w:val="30"/>
          <w:szCs w:val="30"/>
          <w:u w:val="single"/>
          <w14:textFill>
            <w14:solidFill>
              <w14:schemeClr w14:val="tx1"/>
            </w14:solidFill>
          </w14:textFill>
        </w:rPr>
        <w:t>月</w:t>
      </w:r>
      <w:r>
        <w:rPr>
          <w:rFonts w:hint="eastAsia" w:ascii="仿宋_GB2312" w:hAnsi="仿宋_GB2312" w:eastAsia="仿宋_GB2312" w:cs="仿宋_GB2312"/>
          <w:color w:val="000000" w:themeColor="text1"/>
          <w:sz w:val="30"/>
          <w:szCs w:val="30"/>
          <w:u w:val="single"/>
          <w:lang w:val="en-US" w:eastAsia="zh-CN"/>
          <w14:textFill>
            <w14:solidFill>
              <w14:schemeClr w14:val="tx1"/>
            </w14:solidFill>
          </w14:textFill>
        </w:rPr>
        <w:t>9</w:t>
      </w:r>
      <w:r>
        <w:rPr>
          <w:rFonts w:hint="eastAsia" w:ascii="仿宋_GB2312" w:hAnsi="仿宋_GB2312" w:eastAsia="仿宋_GB2312" w:cs="仿宋_GB2312"/>
          <w:color w:val="000000" w:themeColor="text1"/>
          <w:sz w:val="30"/>
          <w:szCs w:val="30"/>
          <w:u w:val="single"/>
          <w14:textFill>
            <w14:solidFill>
              <w14:schemeClr w14:val="tx1"/>
            </w14:solidFill>
          </w14:textFill>
        </w:rPr>
        <w:t>日</w:t>
      </w:r>
      <w:r>
        <w:rPr>
          <w:rFonts w:hint="eastAsia" w:ascii="仿宋_GB2312" w:hAnsi="仿宋_GB2312" w:eastAsia="仿宋_GB2312" w:cs="仿宋_GB2312"/>
          <w:color w:val="000000" w:themeColor="text1"/>
          <w:sz w:val="30"/>
          <w:szCs w:val="30"/>
          <w14:textFill>
            <w14:solidFill>
              <w14:schemeClr w14:val="tx1"/>
            </w14:solidFill>
          </w14:textFill>
        </w:rPr>
        <w:t>。</w:t>
      </w:r>
    </w:p>
    <w:p w14:paraId="0A5FA3EA">
      <w:pPr>
        <w:pStyle w:val="4"/>
        <w:keepNext w:val="0"/>
        <w:keepLines w:val="0"/>
        <w:pageBreakBefore w:val="0"/>
        <w:widowControl w:val="0"/>
        <w:kinsoku/>
        <w:wordWrap/>
        <w:overflowPunct/>
        <w:topLinePunct w:val="0"/>
        <w:bidi w:val="0"/>
        <w:adjustRightInd/>
        <w:snapToGrid/>
        <w:spacing w:before="0" w:line="569" w:lineRule="exac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（三）招标原则</w:t>
      </w:r>
    </w:p>
    <w:p w14:paraId="474A9124">
      <w:pPr>
        <w:keepNext w:val="0"/>
        <w:keepLines w:val="0"/>
        <w:pageBreakBefore w:val="0"/>
        <w:widowControl w:val="0"/>
        <w:kinsoku/>
        <w:wordWrap/>
        <w:overflowPunct/>
        <w:topLinePunct w:val="0"/>
        <w:bidi w:val="0"/>
        <w:adjustRightInd/>
        <w:snapToGrid/>
        <w:spacing w:before="0"/>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招标人在按照公开、公平、公正和诚实信用的原则对投标人的投标进行综合评价，择优选取中标人。</w:t>
      </w:r>
    </w:p>
    <w:p w14:paraId="1F346540">
      <w:pPr>
        <w:pStyle w:val="4"/>
        <w:keepNext w:val="0"/>
        <w:keepLines w:val="0"/>
        <w:pageBreakBefore w:val="0"/>
        <w:widowControl w:val="0"/>
        <w:kinsoku/>
        <w:wordWrap/>
        <w:overflowPunct/>
        <w:topLinePunct w:val="0"/>
        <w:bidi w:val="0"/>
        <w:adjustRightInd/>
        <w:snapToGrid/>
        <w:spacing w:before="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（四）招标人权利</w:t>
      </w:r>
    </w:p>
    <w:p w14:paraId="305F528C">
      <w:pPr>
        <w:pStyle w:val="6"/>
        <w:keepNext w:val="0"/>
        <w:keepLines w:val="0"/>
        <w:pageBreakBefore w:val="0"/>
        <w:widowControl w:val="0"/>
        <w:kinsoku/>
        <w:wordWrap/>
        <w:overflowPunct/>
        <w:topLinePunct w:val="0"/>
        <w:bidi w:val="0"/>
        <w:adjustRightInd/>
        <w:snapToGrid/>
        <w:spacing w:before="0" w:line="280" w:lineRule="auto"/>
        <w:ind w:right="509" w:firstLine="561"/>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1、招标人在合同协议书签署前的任何时候保留接受或不接受投标人投标文件的权利，并且无须对受影响的投标人承担任何责任。</w:t>
      </w:r>
    </w:p>
    <w:p w14:paraId="2BC2D7BC">
      <w:pPr>
        <w:pStyle w:val="6"/>
        <w:keepNext w:val="0"/>
        <w:keepLines w:val="0"/>
        <w:pageBreakBefore w:val="0"/>
        <w:widowControl w:val="0"/>
        <w:kinsoku/>
        <w:wordWrap/>
        <w:overflowPunct/>
        <w:topLinePunct w:val="0"/>
        <w:bidi w:val="0"/>
        <w:adjustRightInd/>
        <w:snapToGrid/>
        <w:spacing w:before="0"/>
        <w:ind w:left="69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2、招标人对投标人的报价及服务条件拥有最终选择权。</w:t>
      </w:r>
    </w:p>
    <w:p w14:paraId="441A523F">
      <w:pPr>
        <w:pStyle w:val="6"/>
        <w:keepNext w:val="0"/>
        <w:keepLines w:val="0"/>
        <w:pageBreakBefore w:val="0"/>
        <w:widowControl w:val="0"/>
        <w:kinsoku/>
        <w:wordWrap/>
        <w:overflowPunct/>
        <w:topLinePunct w:val="0"/>
        <w:bidi w:val="0"/>
        <w:adjustRightInd/>
        <w:snapToGrid/>
        <w:spacing w:before="0" w:line="392" w:lineRule="exact"/>
        <w:ind w:left="69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3、招标人对招标文件拥有最终解释权。</w:t>
      </w:r>
    </w:p>
    <w:p w14:paraId="6E689235">
      <w:pPr>
        <w:pStyle w:val="4"/>
        <w:keepNext w:val="0"/>
        <w:keepLines w:val="0"/>
        <w:pageBreakBefore w:val="0"/>
        <w:widowControl w:val="0"/>
        <w:kinsoku/>
        <w:wordWrap/>
        <w:overflowPunct/>
        <w:topLinePunct w:val="0"/>
        <w:bidi w:val="0"/>
        <w:adjustRightInd/>
        <w:snapToGrid/>
        <w:spacing w:before="0" w:line="569" w:lineRule="exac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（五）投标</w:t>
      </w:r>
    </w:p>
    <w:p w14:paraId="63BED08D">
      <w:pPr>
        <w:keepNext w:val="0"/>
        <w:keepLines w:val="0"/>
        <w:pageBreakBefore w:val="0"/>
        <w:widowControl w:val="0"/>
        <w:kinsoku/>
        <w:wordWrap/>
        <w:overflowPunct/>
        <w:topLinePunct w:val="0"/>
        <w:bidi w:val="0"/>
        <w:adjustRightInd/>
        <w:snapToGrid/>
        <w:spacing w:before="0"/>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本招标文件是本次招标的基础性文件，也是</w:t>
      </w:r>
      <w:r>
        <w:rPr>
          <w:rFonts w:hint="eastAsia" w:ascii="仿宋_GB2312" w:hAnsi="仿宋_GB2312" w:eastAsia="仿宋_GB2312" w:cs="仿宋_GB2312"/>
          <w:spacing w:val="20"/>
          <w:sz w:val="30"/>
          <w:szCs w:val="30"/>
        </w:rPr>
        <w:t>最终</w:t>
      </w:r>
      <w:r>
        <w:rPr>
          <w:rFonts w:hint="eastAsia" w:ascii="仿宋_GB2312" w:hAnsi="仿宋_GB2312" w:eastAsia="仿宋_GB2312" w:cs="仿宋_GB2312"/>
          <w:sz w:val="30"/>
          <w:szCs w:val="30"/>
        </w:rPr>
        <w:t>签署运输合同的重要组成部分，投标人必须基于</w:t>
      </w:r>
      <w:r>
        <w:rPr>
          <w:rFonts w:hint="eastAsia" w:ascii="仿宋_GB2312" w:hAnsi="仿宋_GB2312" w:eastAsia="仿宋_GB2312" w:cs="仿宋_GB2312"/>
          <w:spacing w:val="20"/>
          <w:sz w:val="30"/>
          <w:szCs w:val="30"/>
        </w:rPr>
        <w:t>投标</w:t>
      </w:r>
      <w:r>
        <w:rPr>
          <w:rFonts w:hint="eastAsia" w:ascii="仿宋_GB2312" w:hAnsi="仿宋_GB2312" w:eastAsia="仿宋_GB2312" w:cs="仿宋_GB2312"/>
          <w:sz w:val="30"/>
          <w:szCs w:val="30"/>
        </w:rPr>
        <w:t>文件内容</w:t>
      </w:r>
      <w:r>
        <w:rPr>
          <w:rFonts w:hint="eastAsia" w:ascii="仿宋_GB2312" w:hAnsi="仿宋_GB2312" w:eastAsia="仿宋_GB2312" w:cs="仿宋_GB2312"/>
          <w:spacing w:val="20"/>
          <w:sz w:val="30"/>
          <w:szCs w:val="30"/>
        </w:rPr>
        <w:t>提供</w:t>
      </w:r>
      <w:r>
        <w:rPr>
          <w:rFonts w:hint="eastAsia" w:ascii="仿宋_GB2312" w:hAnsi="仿宋_GB2312" w:eastAsia="仿宋_GB2312" w:cs="仿宋_GB2312"/>
          <w:sz w:val="30"/>
          <w:szCs w:val="30"/>
        </w:rPr>
        <w:t>投标报价及编制投标文件。</w:t>
      </w:r>
    </w:p>
    <w:p w14:paraId="3DD1CAE0">
      <w:pPr>
        <w:pStyle w:val="4"/>
        <w:keepNext w:val="0"/>
        <w:keepLines w:val="0"/>
        <w:pageBreakBefore w:val="0"/>
        <w:widowControl w:val="0"/>
        <w:kinsoku/>
        <w:wordWrap/>
        <w:overflowPunct/>
        <w:topLinePunct w:val="0"/>
        <w:bidi w:val="0"/>
        <w:adjustRightInd/>
        <w:snapToGrid/>
        <w:spacing w:before="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（六）投标保证金</w:t>
      </w:r>
    </w:p>
    <w:p w14:paraId="128252A9">
      <w:pPr>
        <w:pStyle w:val="6"/>
        <w:keepNext w:val="0"/>
        <w:keepLines w:val="0"/>
        <w:pageBreakBefore w:val="0"/>
        <w:widowControl w:val="0"/>
        <w:kinsoku/>
        <w:wordWrap/>
        <w:overflowPunct/>
        <w:topLinePunct w:val="0"/>
        <w:bidi w:val="0"/>
        <w:adjustRightInd/>
        <w:snapToGrid/>
        <w:spacing w:before="0" w:line="409" w:lineRule="exact"/>
        <w:ind w:left="69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投标人应按前附表要求足额、及时提交投标保证金。</w:t>
      </w:r>
    </w:p>
    <w:p w14:paraId="4DC6235E">
      <w:pPr>
        <w:pStyle w:val="6"/>
        <w:keepNext w:val="0"/>
        <w:keepLines w:val="0"/>
        <w:pageBreakBefore w:val="0"/>
        <w:widowControl w:val="0"/>
        <w:kinsoku/>
        <w:wordWrap/>
        <w:overflowPunct/>
        <w:topLinePunct w:val="0"/>
        <w:bidi w:val="0"/>
        <w:adjustRightInd/>
        <w:snapToGrid/>
        <w:spacing w:before="0" w:line="280" w:lineRule="auto"/>
        <w:ind w:right="509" w:firstLine="561"/>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对于未能按要求提交投标保证金的投标文件，招标人应视为不响应招标文件而予以拒绝；</w:t>
      </w:r>
    </w:p>
    <w:p w14:paraId="0A675CFA">
      <w:pPr>
        <w:pStyle w:val="6"/>
        <w:keepNext w:val="0"/>
        <w:keepLines w:val="0"/>
        <w:pageBreakBefore w:val="0"/>
        <w:widowControl w:val="0"/>
        <w:kinsoku/>
        <w:wordWrap/>
        <w:overflowPunct/>
        <w:topLinePunct w:val="0"/>
        <w:bidi w:val="0"/>
        <w:adjustRightInd/>
        <w:snapToGrid/>
        <w:spacing w:before="0" w:line="409" w:lineRule="exact"/>
        <w:ind w:left="69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3</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未中标人的投标保证金，在开标日期后</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十五</w:t>
      </w:r>
      <w:r>
        <w:rPr>
          <w:rFonts w:hint="eastAsia" w:ascii="仿宋_GB2312" w:hAnsi="仿宋_GB2312" w:eastAsia="仿宋_GB2312" w:cs="仿宋_GB2312"/>
          <w:color w:val="000000" w:themeColor="text1"/>
          <w:sz w:val="30"/>
          <w:szCs w:val="30"/>
          <w14:textFill>
            <w14:solidFill>
              <w14:schemeClr w14:val="tx1"/>
            </w14:solidFill>
          </w14:textFill>
        </w:rPr>
        <w:t>个工作日内进行退还处理。</w:t>
      </w:r>
    </w:p>
    <w:p w14:paraId="1E36E61B">
      <w:pPr>
        <w:pStyle w:val="6"/>
        <w:keepNext w:val="0"/>
        <w:keepLines w:val="0"/>
        <w:pageBreakBefore w:val="0"/>
        <w:widowControl w:val="0"/>
        <w:kinsoku/>
        <w:wordWrap/>
        <w:overflowPunct/>
        <w:topLinePunct w:val="0"/>
        <w:bidi w:val="0"/>
        <w:adjustRightInd/>
        <w:snapToGrid/>
        <w:spacing w:before="0" w:line="409" w:lineRule="exact"/>
        <w:ind w:left="69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4</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中标人的投标保证金，在正式签订合同后转为合同保证金的一部分。</w:t>
      </w:r>
    </w:p>
    <w:p w14:paraId="1118D893">
      <w:pPr>
        <w:pStyle w:val="6"/>
        <w:keepNext w:val="0"/>
        <w:keepLines w:val="0"/>
        <w:pageBreakBefore w:val="0"/>
        <w:widowControl w:val="0"/>
        <w:kinsoku/>
        <w:wordWrap/>
        <w:overflowPunct/>
        <w:topLinePunct w:val="0"/>
        <w:bidi w:val="0"/>
        <w:adjustRightInd/>
        <w:snapToGrid/>
        <w:spacing w:before="0"/>
        <w:ind w:left="69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5</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如有下列情形之一的，将不予以退还投标保证金：</w:t>
      </w:r>
    </w:p>
    <w:p w14:paraId="28EC303E">
      <w:pPr>
        <w:pStyle w:val="6"/>
        <w:keepNext w:val="0"/>
        <w:keepLines w:val="0"/>
        <w:pageBreakBefore w:val="0"/>
        <w:widowControl w:val="0"/>
        <w:kinsoku/>
        <w:wordWrap/>
        <w:overflowPunct/>
        <w:topLinePunct w:val="0"/>
        <w:bidi w:val="0"/>
        <w:adjustRightInd/>
        <w:snapToGrid/>
        <w:spacing w:before="0"/>
        <w:ind w:left="0" w:leftChars="0" w:firstLine="0" w:firstLineChars="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中标人未能在招标人规定的时间内与招标人签署运输合同或中标后弃标；</w:t>
      </w:r>
    </w:p>
    <w:p w14:paraId="01950FE3">
      <w:pPr>
        <w:pStyle w:val="9"/>
        <w:keepNext w:val="0"/>
        <w:keepLines w:val="0"/>
        <w:pageBreakBefore w:val="0"/>
        <w:widowControl w:val="0"/>
        <w:numPr>
          <w:ilvl w:val="0"/>
          <w:numId w:val="2"/>
        </w:numPr>
        <w:tabs>
          <w:tab w:val="left" w:pos="1251"/>
        </w:tabs>
        <w:kinsoku/>
        <w:wordWrap/>
        <w:overflowPunct/>
        <w:topLinePunct w:val="0"/>
        <w:bidi w:val="0"/>
        <w:adjustRightInd/>
        <w:snapToGrid/>
        <w:spacing w:before="0" w:after="0" w:line="240" w:lineRule="auto"/>
        <w:ind w:left="1250" w:right="0" w:hanging="800"/>
        <w:jc w:val="lef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投标人在投标截止日期后单方擅自对投标文件做实质性修改。</w:t>
      </w:r>
    </w:p>
    <w:p w14:paraId="305563F3">
      <w:pPr>
        <w:pStyle w:val="9"/>
        <w:keepNext w:val="0"/>
        <w:keepLines w:val="0"/>
        <w:pageBreakBefore w:val="0"/>
        <w:widowControl w:val="0"/>
        <w:numPr>
          <w:ilvl w:val="0"/>
          <w:numId w:val="2"/>
        </w:numPr>
        <w:tabs>
          <w:tab w:val="left" w:pos="1251"/>
        </w:tabs>
        <w:kinsoku/>
        <w:wordWrap/>
        <w:overflowPunct/>
        <w:topLinePunct w:val="0"/>
        <w:bidi w:val="0"/>
        <w:adjustRightInd/>
        <w:snapToGrid/>
        <w:spacing w:before="0" w:after="0" w:line="392" w:lineRule="exact"/>
        <w:ind w:left="1250" w:right="0" w:hanging="800"/>
        <w:jc w:val="lef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未经招标人书面同意，投标人擅自透露招标文件内容。</w:t>
      </w:r>
    </w:p>
    <w:p w14:paraId="55786BA3">
      <w:pPr>
        <w:pStyle w:val="4"/>
        <w:keepNext w:val="0"/>
        <w:keepLines w:val="0"/>
        <w:pageBreakBefore w:val="0"/>
        <w:widowControl w:val="0"/>
        <w:kinsoku/>
        <w:wordWrap/>
        <w:overflowPunct/>
        <w:topLinePunct w:val="0"/>
        <w:bidi w:val="0"/>
        <w:adjustRightInd/>
        <w:snapToGrid/>
        <w:spacing w:before="0" w:line="569" w:lineRule="exact"/>
        <w:ind w:left="45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（七）投标文件的编制</w:t>
      </w:r>
    </w:p>
    <w:p w14:paraId="7C6EA25A">
      <w:pPr>
        <w:pStyle w:val="9"/>
        <w:keepNext w:val="0"/>
        <w:keepLines w:val="0"/>
        <w:pageBreakBefore w:val="0"/>
        <w:widowControl w:val="0"/>
        <w:numPr>
          <w:ilvl w:val="0"/>
          <w:numId w:val="0"/>
        </w:numPr>
        <w:tabs>
          <w:tab w:val="left" w:pos="1251"/>
        </w:tabs>
        <w:kinsoku/>
        <w:wordWrap/>
        <w:overflowPunct/>
        <w:topLinePunct w:val="0"/>
        <w:bidi w:val="0"/>
        <w:adjustRightInd/>
        <w:snapToGrid/>
        <w:spacing w:before="0" w:after="0" w:line="280" w:lineRule="auto"/>
        <w:ind w:left="440" w:leftChars="0" w:right="509" w:rightChars="0"/>
        <w:jc w:val="lef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投标人必须严格按照招标文件规定的内容在网上招标平台报价。</w:t>
      </w:r>
    </w:p>
    <w:p w14:paraId="1E6F08D2">
      <w:pPr>
        <w:pStyle w:val="9"/>
        <w:keepNext w:val="0"/>
        <w:keepLines w:val="0"/>
        <w:pageBreakBefore w:val="0"/>
        <w:widowControl w:val="0"/>
        <w:numPr>
          <w:ilvl w:val="0"/>
          <w:numId w:val="0"/>
        </w:numPr>
        <w:tabs>
          <w:tab w:val="left" w:pos="1251"/>
        </w:tabs>
        <w:kinsoku/>
        <w:wordWrap/>
        <w:overflowPunct/>
        <w:topLinePunct w:val="0"/>
        <w:bidi w:val="0"/>
        <w:adjustRightInd/>
        <w:snapToGrid/>
        <w:spacing w:before="0" w:after="0" w:line="280" w:lineRule="auto"/>
        <w:ind w:left="440" w:leftChars="0" w:right="509" w:rightChars="0"/>
        <w:jc w:val="both"/>
        <w:textAlignment w:val="auto"/>
        <w:rPr>
          <w:rFonts w:hint="eastAsia" w:ascii="仿宋_GB2312" w:hAnsi="仿宋_GB2312" w:eastAsia="仿宋_GB2312" w:cs="仿宋_GB2312"/>
          <w:color w:val="FF0000"/>
          <w:sz w:val="30"/>
          <w:szCs w:val="30"/>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网上招标平台中的报价为含税价格，投标价不得超过最高</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上</w:t>
      </w:r>
      <w:r>
        <w:rPr>
          <w:rFonts w:hint="eastAsia" w:ascii="仿宋_GB2312" w:hAnsi="仿宋_GB2312" w:eastAsia="仿宋_GB2312" w:cs="仿宋_GB2312"/>
          <w:color w:val="000000" w:themeColor="text1"/>
          <w:sz w:val="30"/>
          <w:szCs w:val="30"/>
          <w14:textFill>
            <w14:solidFill>
              <w14:schemeClr w14:val="tx1"/>
            </w14:solidFill>
          </w14:textFill>
        </w:rPr>
        <w:t>限价，超出限价的作无效标处理。</w:t>
      </w:r>
      <w:r>
        <w:rPr>
          <w:rFonts w:hint="eastAsia" w:ascii="仿宋_GB2312" w:hAnsi="仿宋_GB2312" w:eastAsia="仿宋_GB2312" w:cs="仿宋_GB2312"/>
          <w:b/>
          <w:bCs/>
          <w:color w:val="000000" w:themeColor="text1"/>
          <w:sz w:val="30"/>
          <w:szCs w:val="30"/>
          <w:highlight w:val="yellow"/>
          <w:lang w:val="en-US" w:eastAsia="zh-CN"/>
          <w14:textFill>
            <w14:solidFill>
              <w14:schemeClr w14:val="tx1"/>
            </w14:solidFill>
          </w14:textFill>
        </w:rPr>
        <w:t>本次投标上限价为1000元/车</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中标人结算运费时须提供正规运输发票。</w:t>
      </w:r>
      <w:r>
        <w:rPr>
          <w:color w:val="FF0000"/>
        </w:rPr>
        <w:drawing>
          <wp:anchor distT="0" distB="0" distL="114300" distR="114300" simplePos="0" relativeHeight="251662336" behindDoc="0" locked="0" layoutInCell="1" allowOverlap="1">
            <wp:simplePos x="0" y="0"/>
            <wp:positionH relativeFrom="column">
              <wp:posOffset>5601335</wp:posOffset>
            </wp:positionH>
            <wp:positionV relativeFrom="paragraph">
              <wp:posOffset>-547370</wp:posOffset>
            </wp:positionV>
            <wp:extent cx="646430" cy="431800"/>
            <wp:effectExtent l="0" t="0" r="1270" b="6350"/>
            <wp:wrapSquare wrapText="bothSides"/>
            <wp:docPr id="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46430" cy="431800"/>
                    </a:xfrm>
                    <a:prstGeom prst="rect">
                      <a:avLst/>
                    </a:prstGeom>
                  </pic:spPr>
                </pic:pic>
              </a:graphicData>
            </a:graphic>
          </wp:anchor>
        </w:drawing>
      </w:r>
    </w:p>
    <w:p w14:paraId="1E621E03">
      <w:pPr>
        <w:pStyle w:val="9"/>
        <w:keepNext w:val="0"/>
        <w:keepLines w:val="0"/>
        <w:pageBreakBefore w:val="0"/>
        <w:widowControl w:val="0"/>
        <w:numPr>
          <w:ilvl w:val="-1"/>
          <w:numId w:val="0"/>
        </w:numPr>
        <w:tabs>
          <w:tab w:val="left" w:pos="1251"/>
        </w:tabs>
        <w:kinsoku/>
        <w:wordWrap/>
        <w:overflowPunct/>
        <w:topLinePunct w:val="0"/>
        <w:bidi w:val="0"/>
        <w:adjustRightInd/>
        <w:snapToGrid/>
        <w:spacing w:before="0" w:line="240" w:lineRule="auto"/>
        <w:ind w:left="0" w:firstLine="600"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未签订《投标承诺书》，投标视为无效，《投标承诺书》</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需盖章扫描上传至招投标平台。</w:t>
      </w:r>
    </w:p>
    <w:p w14:paraId="60BE5794">
      <w:pPr>
        <w:pStyle w:val="4"/>
        <w:keepNext w:val="0"/>
        <w:keepLines w:val="0"/>
        <w:pageBreakBefore w:val="0"/>
        <w:widowControl w:val="0"/>
        <w:kinsoku/>
        <w:wordWrap/>
        <w:overflowPunct/>
        <w:topLinePunct w:val="0"/>
        <w:bidi w:val="0"/>
        <w:adjustRightInd/>
        <w:snapToGrid/>
        <w:spacing w:before="0" w:line="569" w:lineRule="exact"/>
        <w:ind w:left="45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（八）开标</w:t>
      </w:r>
    </w:p>
    <w:p w14:paraId="5206D782">
      <w:pPr>
        <w:pStyle w:val="6"/>
        <w:keepNext w:val="0"/>
        <w:keepLines w:val="0"/>
        <w:pageBreakBefore w:val="0"/>
        <w:widowControl w:val="0"/>
        <w:kinsoku/>
        <w:wordWrap/>
        <w:overflowPunct/>
        <w:topLinePunct w:val="0"/>
        <w:bidi w:val="0"/>
        <w:adjustRightInd/>
        <w:snapToGrid/>
        <w:spacing w:before="0" w:line="280" w:lineRule="auto"/>
        <w:ind w:right="509" w:firstLine="420"/>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1.按照开标时间计划，招标人将组织对本次招标活动进行线上开标，按</w:t>
      </w:r>
      <w:r>
        <w:rPr>
          <w:rFonts w:hint="eastAsia" w:ascii="仿宋_GB2312" w:hAnsi="仿宋_GB2312" w:eastAsia="仿宋_GB2312" w:cs="仿宋_GB2312"/>
          <w:color w:val="000000" w:themeColor="text1"/>
          <w:sz w:val="30"/>
          <w:szCs w:val="30"/>
          <w:lang w:eastAsia="zh-CN"/>
          <w14:textFill>
            <w14:solidFill>
              <w14:schemeClr w14:val="tx1"/>
            </w14:solidFill>
          </w14:textFill>
        </w:rPr>
        <w:t>《投标须知》规定已经拒绝的投标文件不在此列。</w:t>
      </w:r>
    </w:p>
    <w:p w14:paraId="1026E851">
      <w:pPr>
        <w:pStyle w:val="6"/>
        <w:keepNext w:val="0"/>
        <w:keepLines w:val="0"/>
        <w:pageBreakBefore w:val="0"/>
        <w:widowControl w:val="0"/>
        <w:kinsoku/>
        <w:wordWrap/>
        <w:overflowPunct/>
        <w:topLinePunct w:val="0"/>
        <w:bidi w:val="0"/>
        <w:adjustRightInd/>
        <w:snapToGrid/>
        <w:spacing w:before="0" w:line="280" w:lineRule="auto"/>
        <w:ind w:right="415" w:firstLine="42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招标人的工作人员与监督人员对开标会议进行全程监督， 如投标文件未符合招标文件中规定的要求，则视为废标；</w:t>
      </w:r>
    </w:p>
    <w:p w14:paraId="70C69485">
      <w:pPr>
        <w:pStyle w:val="6"/>
        <w:keepNext w:val="0"/>
        <w:keepLines w:val="0"/>
        <w:pageBreakBefore w:val="0"/>
        <w:widowControl w:val="0"/>
        <w:kinsoku/>
        <w:wordWrap/>
        <w:overflowPunct/>
        <w:topLinePunct w:val="0"/>
        <w:bidi w:val="0"/>
        <w:adjustRightInd/>
        <w:snapToGrid/>
        <w:spacing w:before="0"/>
        <w:ind w:left="548"/>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val="en-US" w:eastAsia="zh-CN"/>
        </w:rPr>
        <w:t>.</w:t>
      </w:r>
      <w:r>
        <w:rPr>
          <w:rFonts w:hint="eastAsia" w:ascii="仿宋_GB2312" w:hAnsi="仿宋_GB2312" w:eastAsia="仿宋_GB2312" w:cs="仿宋_GB2312"/>
          <w:color w:val="auto"/>
          <w:sz w:val="30"/>
          <w:szCs w:val="30"/>
        </w:rPr>
        <w:t>发生下列情况之一者，视为无效投标：</w:t>
      </w:r>
    </w:p>
    <w:p w14:paraId="54832F37">
      <w:pPr>
        <w:pStyle w:val="9"/>
        <w:keepNext w:val="0"/>
        <w:keepLines w:val="0"/>
        <w:pageBreakBefore w:val="0"/>
        <w:widowControl w:val="0"/>
        <w:numPr>
          <w:ilvl w:val="0"/>
          <w:numId w:val="3"/>
        </w:numPr>
        <w:tabs>
          <w:tab w:val="left" w:pos="1251"/>
        </w:tabs>
        <w:kinsoku/>
        <w:wordWrap/>
        <w:overflowPunct/>
        <w:topLinePunct w:val="0"/>
        <w:bidi w:val="0"/>
        <w:adjustRightInd/>
        <w:snapToGrid/>
        <w:spacing w:before="0" w:after="0" w:line="240" w:lineRule="auto"/>
        <w:ind w:left="1250" w:right="0" w:hanging="800"/>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投标承诺书未按规定加盖公章和签字。</w:t>
      </w:r>
    </w:p>
    <w:p w14:paraId="23DE0DBA">
      <w:pPr>
        <w:pStyle w:val="9"/>
        <w:keepNext w:val="0"/>
        <w:keepLines w:val="0"/>
        <w:pageBreakBefore w:val="0"/>
        <w:widowControl w:val="0"/>
        <w:numPr>
          <w:ilvl w:val="0"/>
          <w:numId w:val="3"/>
        </w:numPr>
        <w:tabs>
          <w:tab w:val="left" w:pos="1251"/>
        </w:tabs>
        <w:kinsoku/>
        <w:wordWrap/>
        <w:overflowPunct/>
        <w:topLinePunct w:val="0"/>
        <w:bidi w:val="0"/>
        <w:adjustRightInd/>
        <w:snapToGrid/>
        <w:spacing w:before="0" w:after="0" w:line="280" w:lineRule="auto"/>
        <w:ind w:left="128" w:right="509" w:firstLine="322"/>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投标文件未按规定格式、内容填写或投标文件内容与招标文件有严重背离。</w:t>
      </w:r>
    </w:p>
    <w:p w14:paraId="1518D84B">
      <w:pPr>
        <w:pStyle w:val="9"/>
        <w:keepNext w:val="0"/>
        <w:keepLines w:val="0"/>
        <w:pageBreakBefore w:val="0"/>
        <w:widowControl w:val="0"/>
        <w:numPr>
          <w:ilvl w:val="0"/>
          <w:numId w:val="3"/>
        </w:numPr>
        <w:tabs>
          <w:tab w:val="left" w:pos="1251"/>
        </w:tabs>
        <w:kinsoku/>
        <w:wordWrap/>
        <w:overflowPunct/>
        <w:topLinePunct w:val="0"/>
        <w:bidi w:val="0"/>
        <w:adjustRightInd/>
        <w:snapToGrid/>
        <w:spacing w:before="0" w:after="0" w:line="240" w:lineRule="auto"/>
        <w:ind w:left="1250" w:right="0" w:hanging="800"/>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未按规定及时足额交纳投标保证金的。</w:t>
      </w:r>
    </w:p>
    <w:p w14:paraId="6643996C">
      <w:pPr>
        <w:pStyle w:val="9"/>
        <w:keepNext w:val="0"/>
        <w:keepLines w:val="0"/>
        <w:pageBreakBefore w:val="0"/>
        <w:widowControl w:val="0"/>
        <w:numPr>
          <w:ilvl w:val="0"/>
          <w:numId w:val="3"/>
        </w:numPr>
        <w:tabs>
          <w:tab w:val="left" w:pos="1251"/>
        </w:tabs>
        <w:kinsoku/>
        <w:wordWrap/>
        <w:overflowPunct/>
        <w:topLinePunct w:val="0"/>
        <w:bidi w:val="0"/>
        <w:adjustRightInd/>
        <w:snapToGrid/>
        <w:spacing w:before="0" w:after="0" w:line="240" w:lineRule="auto"/>
        <w:ind w:left="1250" w:right="0" w:hanging="800"/>
        <w:jc w:val="left"/>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其他不符合招标文件要求的投标。</w:t>
      </w:r>
    </w:p>
    <w:p w14:paraId="16CBCD31">
      <w:pPr>
        <w:pStyle w:val="4"/>
        <w:keepNext w:val="0"/>
        <w:keepLines w:val="0"/>
        <w:pageBreakBefore w:val="0"/>
        <w:widowControl w:val="0"/>
        <w:kinsoku/>
        <w:wordWrap/>
        <w:overflowPunct/>
        <w:topLinePunct w:val="0"/>
        <w:bidi w:val="0"/>
        <w:adjustRightInd/>
        <w:snapToGrid/>
        <w:spacing w:before="0" w:line="483" w:lineRule="exact"/>
        <w:ind w:left="0" w:firstLine="602"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（九）评标</w:t>
      </w:r>
    </w:p>
    <w:p w14:paraId="1C355FF3">
      <w:pPr>
        <w:keepNext w:val="0"/>
        <w:keepLines w:val="0"/>
        <w:pageBreakBefore w:val="0"/>
        <w:widowControl w:val="0"/>
        <w:kinsoku/>
        <w:wordWrap/>
        <w:overflowPunct/>
        <w:topLinePunct w:val="0"/>
        <w:bidi w:val="0"/>
        <w:adjustRightInd/>
        <w:snapToGrid/>
        <w:spacing w:before="0" w:line="533" w:lineRule="exact"/>
        <w:ind w:left="690" w:right="0" w:firstLine="0"/>
        <w:jc w:val="left"/>
        <w:textAlignment w:val="auto"/>
        <w:rPr>
          <w:rFonts w:hint="eastAsia" w:ascii="仿宋_GB2312" w:hAnsi="仿宋_GB2312" w:eastAsia="仿宋_GB2312" w:cs="仿宋_GB2312"/>
          <w:b/>
          <w:color w:val="000000" w:themeColor="text1"/>
          <w:sz w:val="30"/>
          <w:szCs w:val="30"/>
          <w14:textFill>
            <w14:solidFill>
              <w14:schemeClr w14:val="tx1"/>
            </w14:solidFill>
          </w14:textFill>
        </w:rPr>
      </w:pPr>
      <w:r>
        <w:rPr>
          <w:rFonts w:hint="eastAsia" w:ascii="仿宋_GB2312" w:hAnsi="仿宋_GB2312" w:eastAsia="仿宋_GB2312" w:cs="仿宋_GB2312"/>
          <w:b/>
          <w:color w:val="000000" w:themeColor="text1"/>
          <w:sz w:val="30"/>
          <w:szCs w:val="30"/>
          <w14:textFill>
            <w14:solidFill>
              <w14:schemeClr w14:val="tx1"/>
            </w14:solidFill>
          </w14:textFill>
        </w:rPr>
        <w:t>1</w:t>
      </w:r>
      <w:r>
        <w:rPr>
          <w:rFonts w:hint="eastAsia" w:ascii="仿宋_GB2312" w:hAnsi="仿宋_GB2312" w:eastAsia="仿宋_GB2312" w:cs="仿宋_GB2312"/>
          <w:b/>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b/>
          <w:color w:val="000000" w:themeColor="text1"/>
          <w:sz w:val="30"/>
          <w:szCs w:val="30"/>
          <w14:textFill>
            <w14:solidFill>
              <w14:schemeClr w14:val="tx1"/>
            </w14:solidFill>
          </w14:textFill>
        </w:rPr>
        <w:t>评标过程的纪律</w:t>
      </w:r>
    </w:p>
    <w:p w14:paraId="6A3EBF3F">
      <w:pPr>
        <w:pStyle w:val="9"/>
        <w:keepNext w:val="0"/>
        <w:keepLines w:val="0"/>
        <w:pageBreakBefore w:val="0"/>
        <w:widowControl w:val="0"/>
        <w:numPr>
          <w:ilvl w:val="-1"/>
          <w:numId w:val="0"/>
        </w:numPr>
        <w:tabs>
          <w:tab w:val="left" w:pos="1251"/>
        </w:tabs>
        <w:kinsoku/>
        <w:wordWrap/>
        <w:overflowPunct/>
        <w:topLinePunct w:val="0"/>
        <w:bidi w:val="0"/>
        <w:adjustRightInd/>
        <w:snapToGrid/>
        <w:spacing w:before="0" w:after="0" w:line="281" w:lineRule="auto"/>
        <w:ind w:left="0" w:right="348" w:firstLine="580" w:firstLineChars="200"/>
        <w:jc w:val="lef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pacing w:val="-5"/>
          <w:sz w:val="30"/>
          <w:szCs w:val="30"/>
          <w:lang w:eastAsia="zh-CN"/>
          <w14:textFill>
            <w14:solidFill>
              <w14:schemeClr w14:val="tx1"/>
            </w14:solidFill>
          </w14:textFill>
        </w:rPr>
        <w:t>（</w:t>
      </w:r>
      <w:r>
        <w:rPr>
          <w:rFonts w:hint="eastAsia" w:ascii="仿宋_GB2312" w:hAnsi="仿宋_GB2312" w:eastAsia="仿宋_GB2312" w:cs="仿宋_GB2312"/>
          <w:color w:val="000000" w:themeColor="text1"/>
          <w:spacing w:val="-5"/>
          <w:sz w:val="30"/>
          <w:szCs w:val="30"/>
          <w:lang w:val="en-US" w:eastAsia="zh-CN"/>
          <w14:textFill>
            <w14:solidFill>
              <w14:schemeClr w14:val="tx1"/>
            </w14:solidFill>
          </w14:textFill>
        </w:rPr>
        <w:t>1</w:t>
      </w:r>
      <w:r>
        <w:rPr>
          <w:rFonts w:hint="eastAsia" w:ascii="仿宋_GB2312" w:hAnsi="仿宋_GB2312" w:eastAsia="仿宋_GB2312" w:cs="仿宋_GB2312"/>
          <w:color w:val="000000" w:themeColor="text1"/>
          <w:spacing w:val="-5"/>
          <w:sz w:val="30"/>
          <w:szCs w:val="30"/>
          <w:lang w:eastAsia="zh-CN"/>
          <w14:textFill>
            <w14:solidFill>
              <w14:schemeClr w14:val="tx1"/>
            </w14:solidFill>
          </w14:textFill>
        </w:rPr>
        <w:t>）</w:t>
      </w:r>
      <w:r>
        <w:rPr>
          <w:rFonts w:hint="eastAsia" w:ascii="仿宋_GB2312" w:hAnsi="仿宋_GB2312" w:eastAsia="仿宋_GB2312" w:cs="仿宋_GB2312"/>
          <w:color w:val="000000" w:themeColor="text1"/>
          <w:spacing w:val="-5"/>
          <w:sz w:val="30"/>
          <w:szCs w:val="30"/>
          <w14:textFill>
            <w14:solidFill>
              <w14:schemeClr w14:val="tx1"/>
            </w14:solidFill>
          </w14:textFill>
        </w:rPr>
        <w:t>从投标截止日期至授予运输合同时止，有关投标文件的审查</w:t>
      </w:r>
      <w:r>
        <w:rPr>
          <w:rFonts w:hint="eastAsia" w:ascii="仿宋_GB2312" w:hAnsi="仿宋_GB2312" w:eastAsia="仿宋_GB2312" w:cs="仿宋_GB2312"/>
          <w:color w:val="000000" w:themeColor="text1"/>
          <w:spacing w:val="-14"/>
          <w:sz w:val="30"/>
          <w:szCs w:val="30"/>
          <w14:textFill>
            <w14:solidFill>
              <w14:schemeClr w14:val="tx1"/>
            </w14:solidFill>
          </w14:textFill>
        </w:rPr>
        <w:t>、答疑、澄清、评价、谈判以及有关授予合同的意向等一切情况，不得透露给投标人或与上述工作无关的任何单位和个人。</w:t>
      </w:r>
    </w:p>
    <w:p w14:paraId="0F3F1705">
      <w:pPr>
        <w:pStyle w:val="9"/>
        <w:keepNext w:val="0"/>
        <w:keepLines w:val="0"/>
        <w:pageBreakBefore w:val="0"/>
        <w:widowControl w:val="0"/>
        <w:numPr>
          <w:ilvl w:val="-1"/>
          <w:numId w:val="0"/>
        </w:numPr>
        <w:tabs>
          <w:tab w:val="left" w:pos="1251"/>
        </w:tabs>
        <w:kinsoku/>
        <w:wordWrap/>
        <w:overflowPunct/>
        <w:topLinePunct w:val="0"/>
        <w:bidi w:val="0"/>
        <w:adjustRightInd/>
        <w:snapToGrid/>
        <w:spacing w:before="0" w:after="0" w:line="281" w:lineRule="auto"/>
        <w:ind w:left="0" w:right="509" w:firstLine="600" w:firstLineChars="200"/>
        <w:jc w:val="lef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严禁投标人在投标过程中采用任何手段进行串标、贿赂和其他被视为违反招、投标纪律的行为，如经发现均取消其投标资格。</w:t>
      </w:r>
    </w:p>
    <w:p w14:paraId="43424B00">
      <w:pPr>
        <w:pStyle w:val="9"/>
        <w:keepNext w:val="0"/>
        <w:keepLines w:val="0"/>
        <w:pageBreakBefore w:val="0"/>
        <w:widowControl w:val="0"/>
        <w:numPr>
          <w:ilvl w:val="-1"/>
          <w:numId w:val="0"/>
        </w:numPr>
        <w:tabs>
          <w:tab w:val="left" w:pos="1251"/>
        </w:tabs>
        <w:kinsoku/>
        <w:wordWrap/>
        <w:overflowPunct/>
        <w:topLinePunct w:val="0"/>
        <w:bidi w:val="0"/>
        <w:adjustRightInd/>
        <w:snapToGrid/>
        <w:spacing w:before="0" w:after="0" w:line="281" w:lineRule="auto"/>
        <w:ind w:left="0" w:right="506" w:firstLine="600" w:firstLineChars="200"/>
        <w:jc w:val="both"/>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在投标过程中的审查、答疑、评价和</w:t>
      </w:r>
      <w:r>
        <w:rPr>
          <w:rFonts w:hint="eastAsia" w:ascii="仿宋_GB2312" w:hAnsi="仿宋_GB2312" w:eastAsia="仿宋_GB2312" w:cs="仿宋_GB2312"/>
          <w:color w:val="000000" w:themeColor="text1"/>
          <w:spacing w:val="20"/>
          <w:sz w:val="30"/>
          <w:szCs w:val="30"/>
          <w14:textFill>
            <w14:solidFill>
              <w14:schemeClr w14:val="tx1"/>
            </w14:solidFill>
          </w14:textFill>
        </w:rPr>
        <w:t>比较</w:t>
      </w:r>
      <w:r>
        <w:rPr>
          <w:rFonts w:hint="eastAsia" w:ascii="仿宋_GB2312" w:hAnsi="仿宋_GB2312" w:eastAsia="仿宋_GB2312" w:cs="仿宋_GB2312"/>
          <w:color w:val="000000" w:themeColor="text1"/>
          <w:sz w:val="30"/>
          <w:szCs w:val="30"/>
          <w14:textFill>
            <w14:solidFill>
              <w14:schemeClr w14:val="tx1"/>
            </w14:solidFill>
          </w14:textFill>
        </w:rPr>
        <w:t>，以及授予合同的</w:t>
      </w:r>
      <w:r>
        <w:rPr>
          <w:rFonts w:hint="eastAsia" w:ascii="仿宋_GB2312" w:hAnsi="仿宋_GB2312" w:eastAsia="仿宋_GB2312" w:cs="仿宋_GB2312"/>
          <w:color w:val="000000" w:themeColor="text1"/>
          <w:spacing w:val="-14"/>
          <w:sz w:val="30"/>
          <w:szCs w:val="30"/>
          <w14:textFill>
            <w14:solidFill>
              <w14:schemeClr w14:val="tx1"/>
            </w14:solidFill>
          </w14:textFill>
        </w:rPr>
        <w:t>过程中，投标人对招标人和招标人成员直接或间接施加影响的任何干扰行为，都将导致取消投标资格。投标人违反招、投标纪律，其投标将被废除。</w:t>
      </w:r>
    </w:p>
    <w:p w14:paraId="7252783D">
      <w:pPr>
        <w:pStyle w:val="4"/>
        <w:keepNext w:val="0"/>
        <w:keepLines w:val="0"/>
        <w:pageBreakBefore w:val="0"/>
        <w:widowControl w:val="0"/>
        <w:kinsoku/>
        <w:wordWrap/>
        <w:overflowPunct/>
        <w:topLinePunct w:val="0"/>
        <w:bidi w:val="0"/>
        <w:adjustRightInd/>
        <w:snapToGrid/>
        <w:spacing w:before="0" w:line="483" w:lineRule="exac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评标因素</w:t>
      </w:r>
    </w:p>
    <w:p w14:paraId="101B586C">
      <w:pPr>
        <w:pStyle w:val="6"/>
        <w:keepNext w:val="0"/>
        <w:keepLines w:val="0"/>
        <w:pageBreakBefore w:val="0"/>
        <w:widowControl w:val="0"/>
        <w:kinsoku/>
        <w:wordWrap/>
        <w:overflowPunct/>
        <w:topLinePunct w:val="0"/>
        <w:bidi w:val="0"/>
        <w:adjustRightInd/>
        <w:snapToGrid/>
        <w:spacing w:before="0" w:line="280" w:lineRule="auto"/>
        <w:ind w:right="348" w:firstLine="561"/>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评标因素包括但不限于运输合同条款的接受程度、抗风险能力、</w:t>
      </w:r>
      <w:r>
        <w:rPr>
          <w:rFonts w:hint="eastAsia" w:ascii="仿宋_GB2312" w:hAnsi="仿宋_GB2312" w:eastAsia="仿宋_GB2312" w:cs="仿宋_GB2312"/>
          <w:color w:val="000000" w:themeColor="text1"/>
          <w:spacing w:val="-20"/>
          <w:sz w:val="30"/>
          <w:szCs w:val="30"/>
          <w14:textFill>
            <w14:solidFill>
              <w14:schemeClr w14:val="tx1"/>
            </w14:solidFill>
          </w14:textFill>
        </w:rPr>
        <w:t>投标价格、服务承诺、损耗管理、</w:t>
      </w:r>
      <w:r>
        <w:rPr>
          <w:rFonts w:hint="eastAsia" w:ascii="仿宋_GB2312" w:hAnsi="仿宋_GB2312" w:eastAsia="仿宋_GB2312" w:cs="仿宋_GB2312"/>
          <w:color w:val="000000" w:themeColor="text1"/>
          <w:spacing w:val="-20"/>
          <w:sz w:val="30"/>
          <w:szCs w:val="30"/>
          <w:lang w:val="en-US" w:eastAsia="zh-CN"/>
          <w14:textFill>
            <w14:solidFill>
              <w14:schemeClr w14:val="tx1"/>
            </w14:solidFill>
          </w14:textFill>
        </w:rPr>
        <w:t>运输车辆匹配</w:t>
      </w:r>
      <w:r>
        <w:rPr>
          <w:rFonts w:hint="eastAsia" w:ascii="仿宋_GB2312" w:hAnsi="仿宋_GB2312" w:eastAsia="仿宋_GB2312" w:cs="仿宋_GB2312"/>
          <w:color w:val="000000" w:themeColor="text1"/>
          <w:spacing w:val="-20"/>
          <w:sz w:val="30"/>
          <w:szCs w:val="30"/>
          <w14:textFill>
            <w14:solidFill>
              <w14:schemeClr w14:val="tx1"/>
            </w14:solidFill>
          </w14:textFill>
        </w:rPr>
        <w:t>程度及其他优惠条件等。</w:t>
      </w:r>
    </w:p>
    <w:p w14:paraId="3DE8DE83">
      <w:pPr>
        <w:pStyle w:val="4"/>
        <w:keepNext w:val="0"/>
        <w:keepLines w:val="0"/>
        <w:pageBreakBefore w:val="0"/>
        <w:widowControl w:val="0"/>
        <w:kinsoku/>
        <w:wordWrap/>
        <w:overflowPunct/>
        <w:topLinePunct w:val="0"/>
        <w:bidi w:val="0"/>
        <w:adjustRightInd/>
        <w:snapToGrid/>
        <w:spacing w:before="0"/>
        <w:ind w:left="45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（十）中标</w:t>
      </w:r>
    </w:p>
    <w:p w14:paraId="232B1E21">
      <w:pPr>
        <w:pStyle w:val="6"/>
        <w:keepNext w:val="0"/>
        <w:keepLines w:val="0"/>
        <w:pageBreakBefore w:val="0"/>
        <w:widowControl w:val="0"/>
        <w:kinsoku/>
        <w:wordWrap/>
        <w:overflowPunct/>
        <w:topLinePunct w:val="0"/>
        <w:bidi w:val="0"/>
        <w:adjustRightInd/>
        <w:snapToGrid/>
        <w:spacing w:before="0" w:line="280" w:lineRule="auto"/>
        <w:ind w:right="509" w:firstLine="561"/>
        <w:textAlignment w:val="auto"/>
        <w:rPr>
          <w:rFonts w:hint="default"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1</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招标人根据各投标人的投标文件及综合评标最终结果，</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以最低价格（在有效标内）</w:t>
      </w:r>
      <w:r>
        <w:rPr>
          <w:rFonts w:hint="eastAsia" w:ascii="仿宋_GB2312" w:hAnsi="仿宋_GB2312" w:eastAsia="仿宋_GB2312" w:cs="仿宋_GB2312"/>
          <w:color w:val="000000" w:themeColor="text1"/>
          <w:sz w:val="30"/>
          <w:szCs w:val="30"/>
          <w14:textFill>
            <w14:solidFill>
              <w14:schemeClr w14:val="tx1"/>
            </w14:solidFill>
          </w14:textFill>
        </w:rPr>
        <w:t>确定中标人。</w:t>
      </w:r>
    </w:p>
    <w:p w14:paraId="70CAD4C6">
      <w:pPr>
        <w:pStyle w:val="6"/>
        <w:keepNext w:val="0"/>
        <w:keepLines w:val="0"/>
        <w:pageBreakBefore w:val="0"/>
        <w:widowControl w:val="0"/>
        <w:kinsoku/>
        <w:wordWrap/>
        <w:overflowPunct/>
        <w:topLinePunct w:val="0"/>
        <w:bidi w:val="0"/>
        <w:adjustRightInd/>
        <w:snapToGrid/>
        <w:spacing w:before="0" w:line="280" w:lineRule="auto"/>
        <w:ind w:right="504" w:firstLine="561"/>
        <w:jc w:val="both"/>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2</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pacing w:val="-20"/>
          <w:sz w:val="30"/>
          <w:szCs w:val="30"/>
          <w14:textFill>
            <w14:solidFill>
              <w14:schemeClr w14:val="tx1"/>
            </w14:solidFill>
          </w14:textFill>
        </w:rPr>
        <w:t>投标单位自有车辆必</w:t>
      </w:r>
      <w:r>
        <w:rPr>
          <w:rFonts w:hint="eastAsia" w:ascii="仿宋_GB2312" w:hAnsi="仿宋_GB2312" w:eastAsia="仿宋_GB2312" w:cs="仿宋_GB2312"/>
          <w:color w:val="000000" w:themeColor="text1"/>
          <w:spacing w:val="-21"/>
          <w:sz w:val="30"/>
          <w:szCs w:val="30"/>
          <w14:textFill>
            <w14:solidFill>
              <w14:schemeClr w14:val="tx1"/>
            </w14:solidFill>
          </w14:textFill>
        </w:rPr>
        <w:t>须满足</w:t>
      </w:r>
      <w:r>
        <w:rPr>
          <w:rFonts w:hint="eastAsia" w:ascii="仿宋_GB2312" w:hAnsi="仿宋_GB2312" w:eastAsia="仿宋_GB2312" w:cs="仿宋_GB2312"/>
          <w:color w:val="000000" w:themeColor="text1"/>
          <w:spacing w:val="-21"/>
          <w:sz w:val="30"/>
          <w:szCs w:val="30"/>
          <w:lang w:val="en-US" w:eastAsia="zh-CN"/>
          <w14:textFill>
            <w14:solidFill>
              <w14:schemeClr w14:val="tx1"/>
            </w14:solidFill>
          </w14:textFill>
        </w:rPr>
        <w:t>我方</w:t>
      </w:r>
      <w:r>
        <w:rPr>
          <w:rFonts w:hint="eastAsia" w:ascii="仿宋_GB2312" w:hAnsi="仿宋_GB2312" w:eastAsia="仿宋_GB2312" w:cs="仿宋_GB2312"/>
          <w:color w:val="000000" w:themeColor="text1"/>
          <w:spacing w:val="-21"/>
          <w:sz w:val="30"/>
          <w:szCs w:val="30"/>
          <w14:textFill>
            <w14:solidFill>
              <w14:schemeClr w14:val="tx1"/>
            </w14:solidFill>
          </w14:textFill>
        </w:rPr>
        <w:t>所需的数量，</w:t>
      </w:r>
      <w:r>
        <w:rPr>
          <w:rFonts w:hint="eastAsia" w:ascii="仿宋_GB2312" w:hAnsi="仿宋_GB2312" w:eastAsia="仿宋_GB2312" w:cs="仿宋_GB2312"/>
          <w:color w:val="000000" w:themeColor="text1"/>
          <w:spacing w:val="-21"/>
          <w:sz w:val="30"/>
          <w:szCs w:val="30"/>
          <w:lang w:val="en-US" w:eastAsia="zh-CN"/>
          <w14:textFill>
            <w14:solidFill>
              <w14:schemeClr w14:val="tx1"/>
            </w14:solidFill>
          </w14:textFill>
        </w:rPr>
        <w:t>严禁将运输业务委托或转包给第三方。</w:t>
      </w:r>
      <w:r>
        <w:rPr>
          <w:rFonts w:hint="eastAsia" w:ascii="仿宋_GB2312" w:hAnsi="仿宋_GB2312" w:eastAsia="仿宋_GB2312" w:cs="仿宋_GB2312"/>
          <w:color w:val="000000" w:themeColor="text1"/>
          <w:spacing w:val="-21"/>
          <w:sz w:val="30"/>
          <w:szCs w:val="30"/>
          <w14:textFill>
            <w14:solidFill>
              <w14:schemeClr w14:val="tx1"/>
            </w14:solidFill>
          </w14:textFill>
        </w:rPr>
        <w:t>在合同执行过程中车辆需求数量会随公</w:t>
      </w:r>
      <w:r>
        <w:rPr>
          <w:rFonts w:hint="eastAsia" w:ascii="仿宋_GB2312" w:hAnsi="仿宋_GB2312" w:eastAsia="仿宋_GB2312" w:cs="仿宋_GB2312"/>
          <w:color w:val="000000" w:themeColor="text1"/>
          <w:spacing w:val="-18"/>
          <w:sz w:val="30"/>
          <w:szCs w:val="30"/>
          <w14:textFill>
            <w14:solidFill>
              <w14:schemeClr w14:val="tx1"/>
            </w14:solidFill>
          </w14:textFill>
        </w:rPr>
        <w:t>司经营而变动，投标方在合同执行</w:t>
      </w:r>
      <w:r>
        <w:drawing>
          <wp:anchor distT="0" distB="0" distL="114300" distR="114300" simplePos="0" relativeHeight="251663360" behindDoc="0" locked="0" layoutInCell="1" allowOverlap="1">
            <wp:simplePos x="0" y="0"/>
            <wp:positionH relativeFrom="column">
              <wp:posOffset>5601335</wp:posOffset>
            </wp:positionH>
            <wp:positionV relativeFrom="paragraph">
              <wp:posOffset>-547370</wp:posOffset>
            </wp:positionV>
            <wp:extent cx="646430" cy="431800"/>
            <wp:effectExtent l="0" t="0" r="1270" b="6350"/>
            <wp:wrapSquare wrapText="bothSides"/>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8" cstate="hqprint">
                      <a:extLst>
                        <a:ext uri="{28A0092B-C50C-407E-A947-70E740481C1C}">
                          <a14:useLocalDpi xmlns:a14="http://schemas.microsoft.com/office/drawing/2010/main" val="0"/>
                        </a:ext>
                      </a:extLst>
                    </a:blip>
                    <a:stretch>
                      <a:fillRect/>
                    </a:stretch>
                  </pic:blipFill>
                  <pic:spPr>
                    <a:xfrm>
                      <a:off x="0" y="0"/>
                      <a:ext cx="646430" cy="431800"/>
                    </a:xfrm>
                    <a:prstGeom prst="rect">
                      <a:avLst/>
                    </a:prstGeom>
                  </pic:spPr>
                </pic:pic>
              </a:graphicData>
            </a:graphic>
          </wp:anchor>
        </w:drawing>
      </w:r>
      <w:r>
        <w:rPr>
          <w:rFonts w:hint="eastAsia" w:ascii="仿宋_GB2312" w:hAnsi="仿宋_GB2312" w:eastAsia="仿宋_GB2312" w:cs="仿宋_GB2312"/>
          <w:color w:val="000000" w:themeColor="text1"/>
          <w:spacing w:val="-18"/>
          <w:sz w:val="30"/>
          <w:szCs w:val="30"/>
          <w14:textFill>
            <w14:solidFill>
              <w14:schemeClr w14:val="tx1"/>
            </w14:solidFill>
          </w14:textFill>
        </w:rPr>
        <w:t>期间须根据变动配置充足运力保证招标方正常运输。</w:t>
      </w:r>
    </w:p>
    <w:p w14:paraId="724FBF18">
      <w:pPr>
        <w:pStyle w:val="6"/>
        <w:keepNext w:val="0"/>
        <w:keepLines w:val="0"/>
        <w:pageBreakBefore w:val="0"/>
        <w:widowControl w:val="0"/>
        <w:kinsoku/>
        <w:wordWrap/>
        <w:overflowPunct/>
        <w:topLinePunct w:val="0"/>
        <w:bidi w:val="0"/>
        <w:adjustRightInd/>
        <w:snapToGrid/>
        <w:spacing w:before="0" w:line="280" w:lineRule="auto"/>
        <w:ind w:right="509" w:firstLine="561"/>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招标人将以招标系统发送短信的形式通知开标情况，具体中标情况以招标系统显示或电话通知为准。</w:t>
      </w:r>
    </w:p>
    <w:p w14:paraId="0C42A0E2">
      <w:pPr>
        <w:pStyle w:val="6"/>
        <w:keepNext w:val="0"/>
        <w:keepLines w:val="0"/>
        <w:pageBreakBefore w:val="0"/>
        <w:widowControl w:val="0"/>
        <w:kinsoku/>
        <w:wordWrap/>
        <w:overflowPunct/>
        <w:topLinePunct w:val="0"/>
        <w:bidi w:val="0"/>
        <w:adjustRightInd/>
        <w:snapToGrid/>
        <w:spacing w:before="0" w:line="281" w:lineRule="auto"/>
        <w:ind w:right="510" w:firstLine="600" w:firstLineChars="20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4.</w:t>
      </w:r>
      <w:r>
        <w:rPr>
          <w:rFonts w:hint="eastAsia" w:ascii="仿宋_GB2312" w:hAnsi="仿宋_GB2312" w:eastAsia="仿宋_GB2312" w:cs="仿宋_GB2312"/>
          <w:color w:val="000000" w:themeColor="text1"/>
          <w:sz w:val="30"/>
          <w:szCs w:val="30"/>
          <w14:textFill>
            <w14:solidFill>
              <w14:schemeClr w14:val="tx1"/>
            </w14:solidFill>
          </w14:textFill>
        </w:rPr>
        <w:t>中标承运商须在合同开始执行前五天派车辆和人员到相应分公司对接车辆验车、洗消和合同交接等相关事宜。</w:t>
      </w:r>
    </w:p>
    <w:p w14:paraId="64AF1189">
      <w:pPr>
        <w:pStyle w:val="4"/>
        <w:keepNext w:val="0"/>
        <w:keepLines w:val="0"/>
        <w:pageBreakBefore w:val="0"/>
        <w:widowControl w:val="0"/>
        <w:kinsoku/>
        <w:wordWrap/>
        <w:overflowPunct/>
        <w:topLinePunct w:val="0"/>
        <w:bidi w:val="0"/>
        <w:adjustRightInd/>
        <w:snapToGrid/>
        <w:spacing w:before="0"/>
        <w:ind w:left="450"/>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（十一）最终合同的签署</w:t>
      </w:r>
    </w:p>
    <w:p w14:paraId="61DD17A2">
      <w:pPr>
        <w:keepNext w:val="0"/>
        <w:keepLines w:val="0"/>
        <w:pageBreakBefore w:val="0"/>
        <w:widowControl w:val="0"/>
        <w:kinsoku/>
        <w:wordWrap/>
        <w:overflowPunct/>
        <w:topLinePunct w:val="0"/>
        <w:autoSpaceDE/>
        <w:autoSpaceDN/>
        <w:bidi w:val="0"/>
        <w:adjustRightInd/>
        <w:snapToGrid/>
        <w:spacing w:before="0" w:line="520" w:lineRule="exact"/>
        <w:ind w:firstLine="600" w:firstLineChars="200"/>
        <w:textAlignment w:val="auto"/>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1.</w:t>
      </w:r>
      <w:r>
        <w:rPr>
          <w:rFonts w:hint="eastAsia" w:ascii="仿宋_GB2312" w:hAnsi="仿宋_GB2312" w:eastAsia="仿宋_GB2312" w:cs="仿宋_GB2312"/>
          <w:color w:val="000000" w:themeColor="text1"/>
          <w:sz w:val="30"/>
          <w:szCs w:val="30"/>
          <w14:textFill>
            <w14:solidFill>
              <w14:schemeClr w14:val="tx1"/>
            </w14:solidFill>
          </w14:textFill>
        </w:rPr>
        <w:t>中标方收到《中标通知书》后，按《中标通知书》中规定的</w:t>
      </w:r>
      <w:r>
        <w:rPr>
          <w:rFonts w:hint="eastAsia" w:ascii="仿宋_GB2312" w:hAnsi="仿宋_GB2312" w:eastAsia="仿宋_GB2312" w:cs="仿宋_GB2312"/>
          <w:color w:val="000000" w:themeColor="text1"/>
          <w:spacing w:val="20"/>
          <w:sz w:val="30"/>
          <w:szCs w:val="30"/>
          <w14:textFill>
            <w14:solidFill>
              <w14:schemeClr w14:val="tx1"/>
            </w14:solidFill>
          </w14:textFill>
        </w:rPr>
        <w:t>时间</w:t>
      </w:r>
      <w:r>
        <w:rPr>
          <w:rFonts w:hint="eastAsia" w:ascii="仿宋_GB2312" w:hAnsi="仿宋_GB2312" w:eastAsia="仿宋_GB2312" w:cs="仿宋_GB2312"/>
          <w:color w:val="000000" w:themeColor="text1"/>
          <w:sz w:val="30"/>
          <w:szCs w:val="30"/>
          <w14:textFill>
            <w14:solidFill>
              <w14:schemeClr w14:val="tx1"/>
            </w14:solidFill>
          </w14:textFill>
        </w:rPr>
        <w:t>、方式与招标方签订运输合同</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运输</w:t>
      </w:r>
      <w:r>
        <w:rPr>
          <w:rFonts w:hint="eastAsia" w:ascii="仿宋_GB2312" w:hAnsi="仿宋_GB2312" w:eastAsia="仿宋_GB2312" w:cs="仿宋_GB2312"/>
          <w:color w:val="000000" w:themeColor="text1"/>
          <w:spacing w:val="20"/>
          <w:sz w:val="30"/>
          <w:szCs w:val="30"/>
          <w14:textFill>
            <w14:solidFill>
              <w14:schemeClr w14:val="tx1"/>
            </w14:solidFill>
          </w14:textFill>
        </w:rPr>
        <w:t>合同</w:t>
      </w:r>
      <w:r>
        <w:rPr>
          <w:rFonts w:hint="eastAsia" w:ascii="仿宋_GB2312" w:hAnsi="仿宋_GB2312" w:eastAsia="仿宋_GB2312" w:cs="仿宋_GB2312"/>
          <w:color w:val="000000" w:themeColor="text1"/>
          <w:sz w:val="30"/>
          <w:szCs w:val="30"/>
          <w14:textFill>
            <w14:solidFill>
              <w14:schemeClr w14:val="tx1"/>
            </w14:solidFill>
          </w14:textFill>
        </w:rPr>
        <w:t>要求投标方、</w:t>
      </w:r>
      <w:r>
        <w:rPr>
          <w:rFonts w:hint="eastAsia" w:ascii="仿宋_GB2312" w:hAnsi="仿宋_GB2312" w:eastAsia="仿宋_GB2312" w:cs="仿宋_GB2312"/>
          <w:color w:val="000000" w:themeColor="text1"/>
          <w:spacing w:val="20"/>
          <w:sz w:val="30"/>
          <w:szCs w:val="30"/>
          <w14:textFill>
            <w14:solidFill>
              <w14:schemeClr w14:val="tx1"/>
            </w14:solidFill>
          </w14:textFill>
        </w:rPr>
        <w:t>合同</w:t>
      </w:r>
      <w:r>
        <w:rPr>
          <w:rFonts w:hint="eastAsia" w:ascii="仿宋_GB2312" w:hAnsi="仿宋_GB2312" w:eastAsia="仿宋_GB2312" w:cs="仿宋_GB2312"/>
          <w:color w:val="000000" w:themeColor="text1"/>
          <w:sz w:val="30"/>
          <w:szCs w:val="30"/>
          <w14:textFill>
            <w14:solidFill>
              <w14:schemeClr w14:val="tx1"/>
            </w14:solidFill>
          </w14:textFill>
        </w:rPr>
        <w:t>签订方、发票开具方和收款方</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四者一致</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p>
    <w:p w14:paraId="2AB97BA1">
      <w:pPr>
        <w:keepNext w:val="0"/>
        <w:keepLines w:val="0"/>
        <w:pageBreakBefore w:val="0"/>
        <w:widowControl w:val="0"/>
        <w:kinsoku/>
        <w:wordWrap/>
        <w:overflowPunct/>
        <w:topLinePunct w:val="0"/>
        <w:autoSpaceDE/>
        <w:autoSpaceDN/>
        <w:bidi w:val="0"/>
        <w:adjustRightInd/>
        <w:snapToGrid/>
        <w:spacing w:before="0" w:line="520" w:lineRule="exact"/>
        <w:ind w:firstLine="600" w:firstLineChars="200"/>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w:t>
      </w:r>
      <w:r>
        <w:rPr>
          <w:rFonts w:hint="eastAsia" w:ascii="仿宋_GB2312" w:hAnsi="仿宋_GB2312" w:eastAsia="仿宋_GB2312" w:cs="仿宋_GB2312"/>
          <w:color w:val="000000" w:themeColor="text1"/>
          <w:sz w:val="30"/>
          <w:szCs w:val="30"/>
          <w:lang w:eastAsia="zh-CN"/>
          <w14:textFill>
            <w14:solidFill>
              <w14:schemeClr w14:val="tx1"/>
            </w14:solidFill>
          </w14:textFill>
        </w:rPr>
        <w:t>如中标方签定合同后违约，招标方组织重新招标。</w:t>
      </w:r>
    </w:p>
    <w:p w14:paraId="011E743E">
      <w:pPr>
        <w:keepNext w:val="0"/>
        <w:keepLines w:val="0"/>
        <w:pageBreakBefore w:val="0"/>
        <w:widowControl w:val="0"/>
        <w:kinsoku/>
        <w:wordWrap/>
        <w:overflowPunct/>
        <w:topLinePunct w:val="0"/>
        <w:autoSpaceDE/>
        <w:autoSpaceDN/>
        <w:bidi w:val="0"/>
        <w:adjustRightInd/>
        <w:snapToGrid/>
        <w:spacing w:before="0" w:line="520" w:lineRule="exact"/>
        <w:ind w:firstLine="600" w:firstLineChars="200"/>
        <w:textAlignment w:val="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w:t>
      </w:r>
      <w:r>
        <w:rPr>
          <w:rFonts w:hint="eastAsia" w:ascii="仿宋_GB2312" w:hAnsi="仿宋_GB2312" w:eastAsia="仿宋_GB2312" w:cs="仿宋_GB2312"/>
          <w:color w:val="000000" w:themeColor="text1"/>
          <w:sz w:val="30"/>
          <w:szCs w:val="30"/>
          <w14:textFill>
            <w14:solidFill>
              <w14:schemeClr w14:val="tx1"/>
            </w14:solidFill>
          </w14:textFill>
        </w:rPr>
        <w:t>如本文件中所述内容存在与《</w:t>
      </w:r>
      <w:r>
        <w:rPr>
          <w:rFonts w:hint="eastAsia" w:ascii="仿宋_GB2312" w:hAnsi="仿宋_GB2312" w:eastAsia="仿宋_GB2312" w:cs="仿宋_GB2312"/>
          <w:color w:val="000000" w:themeColor="text1"/>
          <w:sz w:val="30"/>
          <w:szCs w:val="30"/>
          <w:lang w:eastAsia="zh-CN"/>
          <w14:textFill>
            <w14:solidFill>
              <w14:schemeClr w14:val="tx1"/>
            </w14:solidFill>
          </w14:textFill>
        </w:rPr>
        <w:t>运输</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合同</w:t>
      </w:r>
      <w:r>
        <w:rPr>
          <w:rFonts w:hint="eastAsia" w:ascii="仿宋_GB2312" w:hAnsi="仿宋_GB2312" w:eastAsia="仿宋_GB2312" w:cs="仿宋_GB2312"/>
          <w:color w:val="000000" w:themeColor="text1"/>
          <w:sz w:val="30"/>
          <w:szCs w:val="30"/>
          <w14:textFill>
            <w14:solidFill>
              <w14:schemeClr w14:val="tx1"/>
            </w14:solidFill>
          </w14:textFill>
        </w:rPr>
        <w:t>》中相关内容有出入，则以《</w:t>
      </w:r>
      <w:r>
        <w:rPr>
          <w:rFonts w:hint="eastAsia" w:ascii="仿宋_GB2312" w:hAnsi="仿宋_GB2312" w:eastAsia="仿宋_GB2312" w:cs="仿宋_GB2312"/>
          <w:color w:val="000000" w:themeColor="text1"/>
          <w:sz w:val="30"/>
          <w:szCs w:val="30"/>
          <w:lang w:eastAsia="zh-CN"/>
          <w14:textFill>
            <w14:solidFill>
              <w14:schemeClr w14:val="tx1"/>
            </w14:solidFill>
          </w14:textFill>
        </w:rPr>
        <w:t>运输</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合同</w:t>
      </w:r>
      <w:r>
        <w:rPr>
          <w:rFonts w:hint="eastAsia" w:ascii="仿宋_GB2312" w:hAnsi="仿宋_GB2312" w:eastAsia="仿宋_GB2312" w:cs="仿宋_GB2312"/>
          <w:color w:val="000000" w:themeColor="text1"/>
          <w:sz w:val="30"/>
          <w:szCs w:val="30"/>
          <w14:textFill>
            <w14:solidFill>
              <w14:schemeClr w14:val="tx1"/>
            </w14:solidFill>
          </w14:textFill>
        </w:rPr>
        <w:t>》所述内容为</w:t>
      </w:r>
      <w:r>
        <w:rPr>
          <w:rFonts w:hint="eastAsia" w:ascii="仿宋_GB2312" w:hAnsi="仿宋_GB2312" w:eastAsia="仿宋_GB2312" w:cs="仿宋_GB2312"/>
          <w:color w:val="auto"/>
          <w:sz w:val="30"/>
          <w:szCs w:val="30"/>
        </w:rPr>
        <w:t>准。</w:t>
      </w:r>
    </w:p>
    <w:p w14:paraId="306321F6">
      <w:pPr>
        <w:bidi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如果中标人不按上述规定执行，中标后未</w:t>
      </w:r>
      <w:r>
        <w:rPr>
          <w:rFonts w:hint="eastAsia" w:ascii="仿宋_GB2312" w:hAnsi="仿宋_GB2312" w:eastAsia="仿宋_GB2312" w:cs="仿宋_GB2312"/>
          <w:spacing w:val="20"/>
          <w:sz w:val="30"/>
          <w:szCs w:val="30"/>
        </w:rPr>
        <w:t>及时</w:t>
      </w:r>
      <w:r>
        <w:rPr>
          <w:rFonts w:hint="eastAsia" w:ascii="仿宋_GB2312" w:hAnsi="仿宋_GB2312" w:eastAsia="仿宋_GB2312" w:cs="仿宋_GB2312"/>
          <w:sz w:val="30"/>
          <w:szCs w:val="30"/>
        </w:rPr>
        <w:t>签订合同或放弃中标，招标人有权撤销授标，取消</w:t>
      </w:r>
      <w:r>
        <w:rPr>
          <w:rFonts w:hint="eastAsia" w:ascii="仿宋_GB2312" w:hAnsi="仿宋_GB2312" w:eastAsia="仿宋_GB2312" w:cs="仿宋_GB2312"/>
          <w:spacing w:val="20"/>
          <w:sz w:val="30"/>
          <w:szCs w:val="30"/>
        </w:rPr>
        <w:t>其中</w:t>
      </w:r>
      <w:r>
        <w:rPr>
          <w:rFonts w:hint="eastAsia" w:ascii="仿宋_GB2312" w:hAnsi="仿宋_GB2312" w:eastAsia="仿宋_GB2312" w:cs="仿宋_GB2312"/>
          <w:sz w:val="30"/>
          <w:szCs w:val="30"/>
        </w:rPr>
        <w:t>标人资格并</w:t>
      </w:r>
      <w:r>
        <w:rPr>
          <w:rFonts w:hint="eastAsia" w:ascii="仿宋_GB2312" w:hAnsi="仿宋_GB2312" w:eastAsia="仿宋_GB2312" w:cs="仿宋_GB2312"/>
          <w:spacing w:val="20"/>
          <w:sz w:val="30"/>
          <w:szCs w:val="30"/>
        </w:rPr>
        <w:t>没收</w:t>
      </w:r>
      <w:r>
        <w:rPr>
          <w:rFonts w:hint="eastAsia" w:ascii="仿宋_GB2312" w:hAnsi="仿宋_GB2312" w:eastAsia="仿宋_GB2312" w:cs="仿宋_GB2312"/>
          <w:sz w:val="30"/>
          <w:szCs w:val="30"/>
        </w:rPr>
        <w:t>其投标保证  金。招标人将在中标候选人中重新选定中标人。</w:t>
      </w:r>
    </w:p>
    <w:p w14:paraId="02880764">
      <w:pPr>
        <w:pStyle w:val="4"/>
        <w:keepNext w:val="0"/>
        <w:keepLines w:val="0"/>
        <w:pageBreakBefore w:val="0"/>
        <w:widowControl w:val="0"/>
        <w:kinsoku/>
        <w:wordWrap/>
        <w:overflowPunct/>
        <w:topLinePunct w:val="0"/>
        <w:bidi w:val="0"/>
        <w:adjustRightInd/>
        <w:snapToGrid/>
        <w:spacing w:before="0" w:line="451" w:lineRule="exact"/>
        <w:textAlignment w:val="auto"/>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（十二）招标具体标的情况及要求</w:t>
      </w:r>
    </w:p>
    <w:p w14:paraId="2691BC75">
      <w:pPr>
        <w:keepNext w:val="0"/>
        <w:keepLines w:val="0"/>
        <w:pageBreakBefore w:val="0"/>
        <w:widowControl w:val="0"/>
        <w:kinsoku/>
        <w:wordWrap/>
        <w:overflowPunct/>
        <w:topLinePunct w:val="0"/>
        <w:autoSpaceDE/>
        <w:autoSpaceDN/>
        <w:bidi w:val="0"/>
        <w:adjustRightInd/>
        <w:snapToGrid/>
        <w:spacing w:before="0" w:line="560" w:lineRule="exact"/>
        <w:ind w:firstLine="600" w:firstLineChars="200"/>
        <w:textAlignment w:val="auto"/>
        <w:rPr>
          <w:rFonts w:hint="default"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1.</w:t>
      </w:r>
      <w:r>
        <w:rPr>
          <w:rFonts w:hint="eastAsia" w:ascii="仿宋_GB2312" w:hAnsi="仿宋_GB2312" w:eastAsia="仿宋_GB2312" w:cs="仿宋_GB2312"/>
          <w:color w:val="auto"/>
          <w:sz w:val="30"/>
          <w:szCs w:val="30"/>
          <w:highlight w:val="none"/>
        </w:rPr>
        <w:t>本次招标</w:t>
      </w:r>
      <w:r>
        <w:rPr>
          <w:rFonts w:hint="eastAsia" w:ascii="仿宋_GB2312" w:hAnsi="仿宋_GB2312" w:eastAsia="仿宋_GB2312" w:cs="仿宋_GB2312"/>
          <w:color w:val="auto"/>
          <w:sz w:val="30"/>
          <w:szCs w:val="30"/>
          <w:highlight w:val="none"/>
          <w:lang w:val="en-US" w:eastAsia="zh-CN"/>
        </w:rPr>
        <w:t>只有1</w:t>
      </w:r>
      <w:r>
        <w:rPr>
          <w:rFonts w:hint="eastAsia" w:ascii="仿宋_GB2312" w:hAnsi="仿宋_GB2312" w:eastAsia="仿宋_GB2312" w:cs="仿宋_GB2312"/>
          <w:color w:val="auto"/>
          <w:sz w:val="30"/>
          <w:szCs w:val="30"/>
          <w:highlight w:val="none"/>
        </w:rPr>
        <w:t>个标段</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i w:val="0"/>
          <w:color w:val="auto"/>
          <w:kern w:val="0"/>
          <w:sz w:val="30"/>
          <w:szCs w:val="30"/>
          <w:highlight w:val="none"/>
          <w:u w:val="none"/>
          <w:lang w:val="en-US" w:eastAsia="zh-CN" w:bidi="ar"/>
        </w:rPr>
        <w:t>(投标报价可精确到小数点两位数）</w:t>
      </w:r>
      <w:r>
        <w:rPr>
          <w:rFonts w:hint="eastAsia" w:ascii="仿宋_GB2312" w:hAnsi="仿宋_GB2312" w:eastAsia="仿宋_GB2312" w:cs="仿宋_GB2312"/>
          <w:color w:val="auto"/>
          <w:sz w:val="30"/>
          <w:szCs w:val="30"/>
          <w:highlight w:val="none"/>
          <w:lang w:val="en-US" w:eastAsia="zh-CN"/>
        </w:rPr>
        <w:t>。</w:t>
      </w:r>
    </w:p>
    <w:p w14:paraId="65278A1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2.</w:t>
      </w:r>
      <w:r>
        <w:rPr>
          <w:rFonts w:hint="eastAsia" w:ascii="仿宋_GB2312" w:hAnsi="仿宋_GB2312" w:eastAsia="仿宋_GB2312" w:cs="仿宋_GB2312"/>
          <w:color w:val="000000" w:themeColor="text1"/>
          <w:sz w:val="30"/>
          <w:szCs w:val="30"/>
          <w14:textFill>
            <w14:solidFill>
              <w14:schemeClr w14:val="tx1"/>
            </w14:solidFill>
          </w14:textFill>
        </w:rPr>
        <w:t>报价需要考虑查超载的风险，若</w:t>
      </w:r>
      <w:r>
        <w:rPr>
          <w:rFonts w:hint="eastAsia" w:ascii="仿宋_GB2312" w:hAnsi="仿宋_GB2312" w:eastAsia="仿宋_GB2312" w:cs="仿宋_GB2312"/>
          <w:color w:val="000000" w:themeColor="text1"/>
          <w:spacing w:val="20"/>
          <w:sz w:val="30"/>
          <w:szCs w:val="30"/>
          <w14:textFill>
            <w14:solidFill>
              <w14:schemeClr w14:val="tx1"/>
            </w14:solidFill>
          </w14:textFill>
        </w:rPr>
        <w:t>中标</w:t>
      </w:r>
      <w:r>
        <w:rPr>
          <w:rFonts w:hint="eastAsia" w:ascii="仿宋_GB2312" w:hAnsi="仿宋_GB2312" w:eastAsia="仿宋_GB2312" w:cs="仿宋_GB2312"/>
          <w:color w:val="000000" w:themeColor="text1"/>
          <w:sz w:val="30"/>
          <w:szCs w:val="30"/>
          <w14:textFill>
            <w14:solidFill>
              <w14:schemeClr w14:val="tx1"/>
            </w14:solidFill>
          </w14:textFill>
        </w:rPr>
        <w:t>单位在承运过程中出现违法违规</w:t>
      </w:r>
      <w:r>
        <w:rPr>
          <w:rFonts w:hint="eastAsia" w:ascii="仿宋_GB2312" w:hAnsi="仿宋_GB2312" w:eastAsia="仿宋_GB2312" w:cs="仿宋_GB2312"/>
          <w:color w:val="000000" w:themeColor="text1"/>
          <w:spacing w:val="20"/>
          <w:sz w:val="30"/>
          <w:szCs w:val="30"/>
          <w14:textFill>
            <w14:solidFill>
              <w14:schemeClr w14:val="tx1"/>
            </w14:solidFill>
          </w14:textFill>
        </w:rPr>
        <w:t>造成</w:t>
      </w:r>
      <w:r>
        <w:rPr>
          <w:rFonts w:hint="eastAsia" w:ascii="仿宋_GB2312" w:hAnsi="仿宋_GB2312" w:eastAsia="仿宋_GB2312" w:cs="仿宋_GB2312"/>
          <w:color w:val="000000" w:themeColor="text1"/>
          <w:sz w:val="30"/>
          <w:szCs w:val="30"/>
          <w14:textFill>
            <w14:solidFill>
              <w14:schemeClr w14:val="tx1"/>
            </w14:solidFill>
          </w14:textFill>
        </w:rPr>
        <w:t>处罚或交通</w:t>
      </w:r>
      <w:r>
        <w:rPr>
          <w:rFonts w:hint="eastAsia" w:ascii="仿宋_GB2312" w:hAnsi="仿宋_GB2312" w:eastAsia="仿宋_GB2312" w:cs="仿宋_GB2312"/>
          <w:color w:val="000000" w:themeColor="text1"/>
          <w:spacing w:val="20"/>
          <w:sz w:val="30"/>
          <w:szCs w:val="30"/>
          <w14:textFill>
            <w14:solidFill>
              <w14:schemeClr w14:val="tx1"/>
            </w14:solidFill>
          </w14:textFill>
        </w:rPr>
        <w:t>意外</w:t>
      </w:r>
      <w:r>
        <w:rPr>
          <w:rFonts w:hint="eastAsia" w:ascii="仿宋_GB2312" w:hAnsi="仿宋_GB2312" w:eastAsia="仿宋_GB2312" w:cs="仿宋_GB2312"/>
          <w:color w:val="000000" w:themeColor="text1"/>
          <w:sz w:val="30"/>
          <w:szCs w:val="30"/>
          <w14:textFill>
            <w14:solidFill>
              <w14:schemeClr w14:val="tx1"/>
            </w14:solidFill>
          </w14:textFill>
        </w:rPr>
        <w:t>的，由中标单位负责；签订合同后不会由于超载问题调价</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p>
    <w:p w14:paraId="1B2A2921">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default" w:ascii="仿宋_GB2312" w:hAnsi="仿宋_GB2312" w:eastAsia="仿宋_GB2312" w:cs="仿宋_GB2312"/>
          <w:color w:val="000000" w:themeColor="text1"/>
          <w:sz w:val="30"/>
          <w:szCs w:val="30"/>
          <w:lang w:val="en-US"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742950</wp:posOffset>
            </wp:positionH>
            <wp:positionV relativeFrom="paragraph">
              <wp:posOffset>458470</wp:posOffset>
            </wp:positionV>
            <wp:extent cx="3757930" cy="2914015"/>
            <wp:effectExtent l="0" t="0" r="13970" b="635"/>
            <wp:wrapSquare wrapText="bothSides"/>
            <wp:docPr id="1" name="图片 1" descr="abd4fe6cb1ff5a69e946a7ffd85d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abd4fe6cb1ff5a69e946a7ffd85d389"/>
                    <pic:cNvPicPr>
                      <a:picLocks noChangeAspect="1"/>
                    </pic:cNvPicPr>
                  </pic:nvPicPr>
                  <pic:blipFill>
                    <a:blip r:embed="rId9"/>
                    <a:stretch>
                      <a:fillRect/>
                    </a:stretch>
                  </pic:blipFill>
                  <pic:spPr>
                    <a:xfrm>
                      <a:off x="0" y="0"/>
                      <a:ext cx="3757930" cy="2914015"/>
                    </a:xfrm>
                    <a:prstGeom prst="rect">
                      <a:avLst/>
                    </a:prstGeom>
                  </pic:spPr>
                </pic:pic>
              </a:graphicData>
            </a:graphic>
          </wp:anchor>
        </w:drawing>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3.具体车辆规格图片参考如下：</w:t>
      </w:r>
    </w:p>
    <w:p w14:paraId="0513A299">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1F91A10D">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7A4CDDEF">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07FC70FB">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62F36505">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4B66AF4D">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39EFED4A">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130345D8">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1E029078">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p>
    <w:p w14:paraId="2AD09CD7">
      <w:pPr>
        <w:keepNext w:val="0"/>
        <w:keepLines w:val="0"/>
        <w:pageBreakBefore w:val="0"/>
        <w:widowControl w:val="0"/>
        <w:kinsoku/>
        <w:wordWrap/>
        <w:overflowPunct/>
        <w:topLinePunct w:val="0"/>
        <w:autoSpaceDE/>
        <w:autoSpaceDN/>
        <w:bidi w:val="0"/>
        <w:adjustRightInd/>
        <w:snapToGrid/>
        <w:spacing w:line="500" w:lineRule="exact"/>
        <w:ind w:firstLine="600" w:firstLineChars="200"/>
        <w:jc w:val="left"/>
        <w:textAlignment w:val="auto"/>
        <w:rPr>
          <w:rFonts w:hint="default" w:ascii="仿宋_GB2312" w:hAnsi="仿宋_GB2312" w:eastAsia="仿宋_GB2312" w:cs="仿宋_GB2312"/>
          <w:color w:val="000000" w:themeColor="text1"/>
          <w:sz w:val="30"/>
          <w:szCs w:val="30"/>
          <w:lang w:val="en-US" w:eastAsia="zh-CN"/>
          <w14:textFill>
            <w14:solidFill>
              <w14:schemeClr w14:val="tx1"/>
            </w14:solidFill>
          </w14:textFill>
        </w:rPr>
        <w:sectPr>
          <w:footerReference r:id="rId5" w:type="default"/>
          <w:pgSz w:w="11910" w:h="16840"/>
          <w:pgMar w:top="1460" w:right="720" w:bottom="1380" w:left="1100" w:header="0" w:footer="1194" w:gutter="0"/>
          <w:pgBorders>
            <w:top w:val="none" w:sz="0" w:space="0"/>
            <w:left w:val="none" w:sz="0" w:space="0"/>
            <w:bottom w:val="none" w:sz="0" w:space="0"/>
            <w:right w:val="none" w:sz="0" w:space="0"/>
          </w:pgBorders>
          <w:cols w:space="720" w:num="1"/>
        </w:sectPr>
      </w:pPr>
    </w:p>
    <w:p w14:paraId="2788495E">
      <w:pPr>
        <w:rPr>
          <w:rFonts w:hint="eastAsia" w:ascii="仿宋_GB2312" w:hAnsi="仿宋_GB2312" w:eastAsia="仿宋_GB2312" w:cs="仿宋_GB2312"/>
          <w:sz w:val="30"/>
          <w:szCs w:val="30"/>
        </w:rPr>
      </w:pPr>
    </w:p>
    <w:sectPr>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B8488">
    <w:pPr>
      <w:pStyle w:val="6"/>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3724910</wp:posOffset>
              </wp:positionH>
              <wp:positionV relativeFrom="page">
                <wp:posOffset>9792335</wp:posOffset>
              </wp:positionV>
              <wp:extent cx="109220" cy="141605"/>
              <wp:effectExtent l="0" t="0" r="0" b="0"/>
              <wp:wrapNone/>
              <wp:docPr id="2" name="文本框 1"/>
              <wp:cNvGraphicFramePr/>
              <a:graphic xmlns:a="http://schemas.openxmlformats.org/drawingml/2006/main">
                <a:graphicData uri="http://schemas.microsoft.com/office/word/2010/wordprocessingShape">
                  <wps:wsp>
                    <wps:cNvSpPr txBox="1"/>
                    <wps:spPr>
                      <a:xfrm>
                        <a:off x="0" y="0"/>
                        <a:ext cx="109220" cy="141605"/>
                      </a:xfrm>
                      <a:prstGeom prst="rect">
                        <a:avLst/>
                      </a:prstGeom>
                      <a:noFill/>
                      <a:ln>
                        <a:noFill/>
                      </a:ln>
                    </wps:spPr>
                    <wps:txbx>
                      <w:txbxContent>
                        <w:p w14:paraId="10B85F02">
                          <w:pPr>
                            <w:spacing w:before="0" w:line="206" w:lineRule="exact"/>
                            <w:ind w:left="40" w:right="0" w:firstLine="0"/>
                            <w:jc w:val="left"/>
                            <w:rPr>
                              <w:rFonts w:ascii="Calibri"/>
                              <w:sz w:val="18"/>
                            </w:rPr>
                          </w:pPr>
                          <w:r>
                            <w:fldChar w:fldCharType="begin"/>
                          </w:r>
                          <w:r>
                            <w:rPr>
                              <w:rFonts w:ascii="Calibri"/>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3.3pt;margin-top:771.05pt;height:11.15pt;width:8.6pt;mso-position-horizontal-relative:page;mso-position-vertical-relative:page;z-index:-251656192;mso-width-relative:page;mso-height-relative:page;" filled="f" stroked="f" coordsize="21600,21600" o:gfxdata="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eBlku2gAAAA0BAAAPAAAAAAAAAAEAIAAAACIAAABkcnMvZG93bnJldi54bWxQSwEC&#10;FAAUAAAACACHTuJAZNIptLkBAABxAwAADgAAAAAAAAABACAAAAApAQAAZHJzL2Uyb0RvYy54bWxQ&#10;SwUGAAAAAAYABgBZAQAAVAUAAAAA&#10;">
              <v:fill on="f" focussize="0,0"/>
              <v:stroke on="f"/>
              <v:imagedata o:title=""/>
              <o:lock v:ext="edit" aspectratio="f"/>
              <v:textbox inset="0mm,0mm,0mm,0mm">
                <w:txbxContent>
                  <w:p w14:paraId="10B85F02">
                    <w:pPr>
                      <w:spacing w:before="0" w:line="206" w:lineRule="exact"/>
                      <w:ind w:left="40" w:right="0" w:firstLine="0"/>
                      <w:jc w:val="left"/>
                      <w:rPr>
                        <w:rFonts w:ascii="Calibri"/>
                        <w:sz w:val="18"/>
                      </w:rPr>
                    </w:pPr>
                    <w:r>
                      <w:fldChar w:fldCharType="begin"/>
                    </w:r>
                    <w:r>
                      <w:rPr>
                        <w:rFonts w:ascii="Calibri"/>
                        <w:sz w:val="18"/>
                      </w:rPr>
                      <w:instrText xml:space="preserve"> PAGE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017A9">
    <w:pPr>
      <w:pStyle w:val="6"/>
      <w:spacing w:line="14" w:lineRule="auto"/>
      <w:ind w:left="0"/>
      <w:rPr>
        <w:sz w:val="20"/>
      </w:rPr>
    </w:pPr>
    <w:r>
      <mc:AlternateContent>
        <mc:Choice Requires="wps">
          <w:drawing>
            <wp:anchor distT="0" distB="0" distL="114300" distR="114300" simplePos="0" relativeHeight="251660288" behindDoc="1" locked="0" layoutInCell="1" allowOverlap="1">
              <wp:simplePos x="0" y="0"/>
              <wp:positionH relativeFrom="page">
                <wp:posOffset>3724910</wp:posOffset>
              </wp:positionH>
              <wp:positionV relativeFrom="page">
                <wp:posOffset>9792335</wp:posOffset>
              </wp:positionV>
              <wp:extent cx="109220" cy="141605"/>
              <wp:effectExtent l="0" t="0" r="0" b="0"/>
              <wp:wrapNone/>
              <wp:docPr id="15" name="文本框 1"/>
              <wp:cNvGraphicFramePr/>
              <a:graphic xmlns:a="http://schemas.openxmlformats.org/drawingml/2006/main">
                <a:graphicData uri="http://schemas.microsoft.com/office/word/2010/wordprocessingShape">
                  <wps:wsp>
                    <wps:cNvSpPr txBox="1"/>
                    <wps:spPr>
                      <a:xfrm>
                        <a:off x="0" y="0"/>
                        <a:ext cx="109220" cy="141605"/>
                      </a:xfrm>
                      <a:prstGeom prst="rect">
                        <a:avLst/>
                      </a:prstGeom>
                      <a:noFill/>
                      <a:ln>
                        <a:noFill/>
                      </a:ln>
                    </wps:spPr>
                    <wps:txbx>
                      <w:txbxContent>
                        <w:p w14:paraId="33D425C2">
                          <w:pPr>
                            <w:spacing w:before="0" w:line="206" w:lineRule="exact"/>
                            <w:ind w:left="40" w:right="0" w:firstLine="0"/>
                            <w:jc w:val="left"/>
                            <w:rPr>
                              <w:rFonts w:ascii="Calibri"/>
                              <w:sz w:val="18"/>
                            </w:rPr>
                          </w:pPr>
                          <w:r>
                            <w:fldChar w:fldCharType="begin"/>
                          </w:r>
                          <w:r>
                            <w:rPr>
                              <w:rFonts w:ascii="Calibri"/>
                              <w:sz w:val="18"/>
                            </w:rPr>
                            <w:instrText xml:space="preserve"> PAGE </w:instrText>
                          </w:r>
                          <w:r>
                            <w:fldChar w:fldCharType="separate"/>
                          </w:r>
                          <w:r>
                            <w:t>1</w:t>
                          </w:r>
                          <w:r>
                            <w:fldChar w:fldCharType="end"/>
                          </w:r>
                        </w:p>
                      </w:txbxContent>
                    </wps:txbx>
                    <wps:bodyPr lIns="0" tIns="0" rIns="0" bIns="0" upright="1"/>
                  </wps:wsp>
                </a:graphicData>
              </a:graphic>
            </wp:anchor>
          </w:drawing>
        </mc:Choice>
        <mc:Fallback>
          <w:pict>
            <v:shape id="文本框 1" o:spid="_x0000_s1026" o:spt="202" type="#_x0000_t202" style="position:absolute;left:0pt;margin-left:293.3pt;margin-top:771.05pt;height:11.15pt;width:8.6pt;mso-position-horizontal-relative:page;mso-position-vertical-relative:page;z-index:-251656192;mso-width-relative:page;mso-height-relative:page;" filled="f" stroked="f" coordsize="21600,21600" o:gfxdata="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eBlku2gAAAA0BAAAPAAAAAAAAAAEAIAAAACIAAABkcnMvZG93bnJldi54bWxQSwEC&#10;FAAUAAAACACHTuJAl243A7kBAAByAwAADgAAAAAAAAABACAAAAApAQAAZHJzL2Uyb0RvYy54bWxQ&#10;SwUGAAAAAAYABgBZAQAAVAUAAAAA&#10;">
              <v:fill on="f" focussize="0,0"/>
              <v:stroke on="f"/>
              <v:imagedata o:title=""/>
              <o:lock v:ext="edit" aspectratio="f"/>
              <v:textbox inset="0mm,0mm,0mm,0mm">
                <w:txbxContent>
                  <w:p w14:paraId="33D425C2">
                    <w:pPr>
                      <w:spacing w:before="0" w:line="206" w:lineRule="exact"/>
                      <w:ind w:left="40" w:right="0" w:firstLine="0"/>
                      <w:jc w:val="left"/>
                      <w:rPr>
                        <w:rFonts w:ascii="Calibri"/>
                        <w:sz w:val="18"/>
                      </w:rPr>
                    </w:pPr>
                    <w:r>
                      <w:fldChar w:fldCharType="begin"/>
                    </w:r>
                    <w:r>
                      <w:rPr>
                        <w:rFonts w:ascii="Calibri"/>
                        <w:sz w:val="18"/>
                      </w:rPr>
                      <w:instrText xml:space="preserve"> PAGE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ind w:left="1250" w:hanging="800"/>
        <w:jc w:val="left"/>
      </w:pPr>
      <w:rPr>
        <w:rFonts w:hint="default" w:ascii="宋体" w:hAnsi="宋体" w:eastAsia="宋体" w:cs="宋体"/>
        <w:w w:val="99"/>
        <w:sz w:val="30"/>
        <w:szCs w:val="30"/>
      </w:rPr>
    </w:lvl>
    <w:lvl w:ilvl="1" w:tentative="0">
      <w:start w:val="0"/>
      <w:numFmt w:val="bullet"/>
      <w:lvlText w:val="•"/>
      <w:lvlJc w:val="left"/>
      <w:pPr>
        <w:ind w:left="2142" w:hanging="800"/>
      </w:pPr>
      <w:rPr>
        <w:rFonts w:hint="default"/>
      </w:rPr>
    </w:lvl>
    <w:lvl w:ilvl="2" w:tentative="0">
      <w:start w:val="0"/>
      <w:numFmt w:val="bullet"/>
      <w:lvlText w:val="•"/>
      <w:lvlJc w:val="left"/>
      <w:pPr>
        <w:ind w:left="3025" w:hanging="800"/>
      </w:pPr>
      <w:rPr>
        <w:rFonts w:hint="default"/>
      </w:rPr>
    </w:lvl>
    <w:lvl w:ilvl="3" w:tentative="0">
      <w:start w:val="0"/>
      <w:numFmt w:val="bullet"/>
      <w:lvlText w:val="•"/>
      <w:lvlJc w:val="left"/>
      <w:pPr>
        <w:ind w:left="3907" w:hanging="800"/>
      </w:pPr>
      <w:rPr>
        <w:rFonts w:hint="default"/>
      </w:rPr>
    </w:lvl>
    <w:lvl w:ilvl="4" w:tentative="0">
      <w:start w:val="0"/>
      <w:numFmt w:val="bullet"/>
      <w:lvlText w:val="•"/>
      <w:lvlJc w:val="left"/>
      <w:pPr>
        <w:ind w:left="4790" w:hanging="800"/>
      </w:pPr>
      <w:rPr>
        <w:rFonts w:hint="default"/>
      </w:rPr>
    </w:lvl>
    <w:lvl w:ilvl="5" w:tentative="0">
      <w:start w:val="0"/>
      <w:numFmt w:val="bullet"/>
      <w:lvlText w:val="•"/>
      <w:lvlJc w:val="left"/>
      <w:pPr>
        <w:ind w:left="5673" w:hanging="800"/>
      </w:pPr>
      <w:rPr>
        <w:rFonts w:hint="default"/>
      </w:rPr>
    </w:lvl>
    <w:lvl w:ilvl="6" w:tentative="0">
      <w:start w:val="0"/>
      <w:numFmt w:val="bullet"/>
      <w:lvlText w:val="•"/>
      <w:lvlJc w:val="left"/>
      <w:pPr>
        <w:ind w:left="6555" w:hanging="800"/>
      </w:pPr>
      <w:rPr>
        <w:rFonts w:hint="default"/>
      </w:rPr>
    </w:lvl>
    <w:lvl w:ilvl="7" w:tentative="0">
      <w:start w:val="0"/>
      <w:numFmt w:val="bullet"/>
      <w:lvlText w:val="•"/>
      <w:lvlJc w:val="left"/>
      <w:pPr>
        <w:ind w:left="7438" w:hanging="800"/>
      </w:pPr>
      <w:rPr>
        <w:rFonts w:hint="default"/>
      </w:rPr>
    </w:lvl>
    <w:lvl w:ilvl="8" w:tentative="0">
      <w:start w:val="0"/>
      <w:numFmt w:val="bullet"/>
      <w:lvlText w:val="•"/>
      <w:lvlJc w:val="left"/>
      <w:pPr>
        <w:ind w:left="8320" w:hanging="800"/>
      </w:pPr>
      <w:rPr>
        <w:rFonts w:hint="default"/>
      </w:rPr>
    </w:lvl>
  </w:abstractNum>
  <w:abstractNum w:abstractNumId="1">
    <w:nsid w:val="BB5A711E"/>
    <w:multiLevelType w:val="singleLevel"/>
    <w:tmpl w:val="BB5A711E"/>
    <w:lvl w:ilvl="0" w:tentative="0">
      <w:start w:val="3"/>
      <w:numFmt w:val="decimal"/>
      <w:suff w:val="nothing"/>
      <w:lvlText w:val="（%1）"/>
      <w:lvlJc w:val="left"/>
    </w:lvl>
  </w:abstractNum>
  <w:abstractNum w:abstractNumId="2">
    <w:nsid w:val="59ADCABA"/>
    <w:multiLevelType w:val="multilevel"/>
    <w:tmpl w:val="59ADCABA"/>
    <w:lvl w:ilvl="0" w:tentative="0">
      <w:start w:val="1"/>
      <w:numFmt w:val="decimal"/>
      <w:lvlText w:val="（%1）"/>
      <w:lvlJc w:val="left"/>
      <w:pPr>
        <w:ind w:left="1250" w:hanging="800"/>
        <w:jc w:val="left"/>
      </w:pPr>
      <w:rPr>
        <w:rFonts w:hint="default" w:ascii="宋体" w:hAnsi="宋体" w:eastAsia="宋体" w:cs="宋体"/>
        <w:w w:val="99"/>
        <w:sz w:val="30"/>
        <w:szCs w:val="30"/>
      </w:rPr>
    </w:lvl>
    <w:lvl w:ilvl="1" w:tentative="0">
      <w:start w:val="0"/>
      <w:numFmt w:val="bullet"/>
      <w:lvlText w:val="•"/>
      <w:lvlJc w:val="left"/>
      <w:pPr>
        <w:ind w:left="2142" w:hanging="800"/>
      </w:pPr>
      <w:rPr>
        <w:rFonts w:hint="default"/>
      </w:rPr>
    </w:lvl>
    <w:lvl w:ilvl="2" w:tentative="0">
      <w:start w:val="0"/>
      <w:numFmt w:val="bullet"/>
      <w:lvlText w:val="•"/>
      <w:lvlJc w:val="left"/>
      <w:pPr>
        <w:ind w:left="3025" w:hanging="800"/>
      </w:pPr>
      <w:rPr>
        <w:rFonts w:hint="default"/>
      </w:rPr>
    </w:lvl>
    <w:lvl w:ilvl="3" w:tentative="0">
      <w:start w:val="0"/>
      <w:numFmt w:val="bullet"/>
      <w:lvlText w:val="•"/>
      <w:lvlJc w:val="left"/>
      <w:pPr>
        <w:ind w:left="3907" w:hanging="800"/>
      </w:pPr>
      <w:rPr>
        <w:rFonts w:hint="default"/>
      </w:rPr>
    </w:lvl>
    <w:lvl w:ilvl="4" w:tentative="0">
      <w:start w:val="0"/>
      <w:numFmt w:val="bullet"/>
      <w:lvlText w:val="•"/>
      <w:lvlJc w:val="left"/>
      <w:pPr>
        <w:ind w:left="4790" w:hanging="800"/>
      </w:pPr>
      <w:rPr>
        <w:rFonts w:hint="default"/>
      </w:rPr>
    </w:lvl>
    <w:lvl w:ilvl="5" w:tentative="0">
      <w:start w:val="0"/>
      <w:numFmt w:val="bullet"/>
      <w:lvlText w:val="•"/>
      <w:lvlJc w:val="left"/>
      <w:pPr>
        <w:ind w:left="5673" w:hanging="800"/>
      </w:pPr>
      <w:rPr>
        <w:rFonts w:hint="default"/>
      </w:rPr>
    </w:lvl>
    <w:lvl w:ilvl="6" w:tentative="0">
      <w:start w:val="0"/>
      <w:numFmt w:val="bullet"/>
      <w:lvlText w:val="•"/>
      <w:lvlJc w:val="left"/>
      <w:pPr>
        <w:ind w:left="6555" w:hanging="800"/>
      </w:pPr>
      <w:rPr>
        <w:rFonts w:hint="default"/>
      </w:rPr>
    </w:lvl>
    <w:lvl w:ilvl="7" w:tentative="0">
      <w:start w:val="0"/>
      <w:numFmt w:val="bullet"/>
      <w:lvlText w:val="•"/>
      <w:lvlJc w:val="left"/>
      <w:pPr>
        <w:ind w:left="7438" w:hanging="800"/>
      </w:pPr>
      <w:rPr>
        <w:rFonts w:hint="default"/>
      </w:rPr>
    </w:lvl>
    <w:lvl w:ilvl="8" w:tentative="0">
      <w:start w:val="0"/>
      <w:numFmt w:val="bullet"/>
      <w:lvlText w:val="•"/>
      <w:lvlJc w:val="left"/>
      <w:pPr>
        <w:ind w:left="8320" w:hanging="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D6117"/>
    <w:rsid w:val="01B50E9E"/>
    <w:rsid w:val="021B039D"/>
    <w:rsid w:val="0399640A"/>
    <w:rsid w:val="03C668D2"/>
    <w:rsid w:val="06AE5E18"/>
    <w:rsid w:val="077A7C30"/>
    <w:rsid w:val="084C21AB"/>
    <w:rsid w:val="094D3A0C"/>
    <w:rsid w:val="0AA372B4"/>
    <w:rsid w:val="0C7630D3"/>
    <w:rsid w:val="0DBC334E"/>
    <w:rsid w:val="0F53554E"/>
    <w:rsid w:val="0FE34DB9"/>
    <w:rsid w:val="13CC1508"/>
    <w:rsid w:val="14C62D12"/>
    <w:rsid w:val="16204814"/>
    <w:rsid w:val="167F4AE3"/>
    <w:rsid w:val="19CE1E66"/>
    <w:rsid w:val="19EC1A12"/>
    <w:rsid w:val="19F46A70"/>
    <w:rsid w:val="1B48797B"/>
    <w:rsid w:val="1CC80EC6"/>
    <w:rsid w:val="1F240D91"/>
    <w:rsid w:val="22276D94"/>
    <w:rsid w:val="26276007"/>
    <w:rsid w:val="26733932"/>
    <w:rsid w:val="2823596E"/>
    <w:rsid w:val="291B43DF"/>
    <w:rsid w:val="29267712"/>
    <w:rsid w:val="296E7C07"/>
    <w:rsid w:val="2A5A0AC9"/>
    <w:rsid w:val="2BD53F7B"/>
    <w:rsid w:val="2D7633EA"/>
    <w:rsid w:val="2D775973"/>
    <w:rsid w:val="2DD702D0"/>
    <w:rsid w:val="2E6B52FC"/>
    <w:rsid w:val="2EE470C8"/>
    <w:rsid w:val="30C606E6"/>
    <w:rsid w:val="30E11810"/>
    <w:rsid w:val="314854D7"/>
    <w:rsid w:val="32D443B1"/>
    <w:rsid w:val="33BC38B8"/>
    <w:rsid w:val="34331AAF"/>
    <w:rsid w:val="363959F0"/>
    <w:rsid w:val="37B25C6C"/>
    <w:rsid w:val="37D1071F"/>
    <w:rsid w:val="38323305"/>
    <w:rsid w:val="3A811DDA"/>
    <w:rsid w:val="3BCC659B"/>
    <w:rsid w:val="3C520284"/>
    <w:rsid w:val="3CBE0C38"/>
    <w:rsid w:val="3D6F6C56"/>
    <w:rsid w:val="3E9605C8"/>
    <w:rsid w:val="3EF67E5B"/>
    <w:rsid w:val="413C548E"/>
    <w:rsid w:val="44022AC4"/>
    <w:rsid w:val="45076BB3"/>
    <w:rsid w:val="47706637"/>
    <w:rsid w:val="4A3E5159"/>
    <w:rsid w:val="4AF06F14"/>
    <w:rsid w:val="4E06127F"/>
    <w:rsid w:val="4E585E1D"/>
    <w:rsid w:val="51E951E6"/>
    <w:rsid w:val="5265465B"/>
    <w:rsid w:val="5266163F"/>
    <w:rsid w:val="52F37C45"/>
    <w:rsid w:val="53370692"/>
    <w:rsid w:val="53522541"/>
    <w:rsid w:val="535A2065"/>
    <w:rsid w:val="535C1796"/>
    <w:rsid w:val="53BB25CD"/>
    <w:rsid w:val="543D519A"/>
    <w:rsid w:val="54CD009F"/>
    <w:rsid w:val="54F56767"/>
    <w:rsid w:val="56CC373D"/>
    <w:rsid w:val="58183D5E"/>
    <w:rsid w:val="59826569"/>
    <w:rsid w:val="5AE43878"/>
    <w:rsid w:val="5B94144C"/>
    <w:rsid w:val="5BB552E9"/>
    <w:rsid w:val="5DFE6042"/>
    <w:rsid w:val="5ED2648D"/>
    <w:rsid w:val="5FD71A87"/>
    <w:rsid w:val="60DC69EB"/>
    <w:rsid w:val="63D0179D"/>
    <w:rsid w:val="64483258"/>
    <w:rsid w:val="6645256E"/>
    <w:rsid w:val="6A175C61"/>
    <w:rsid w:val="6B89073A"/>
    <w:rsid w:val="6B9246C9"/>
    <w:rsid w:val="6C4F04E8"/>
    <w:rsid w:val="6E8B77B9"/>
    <w:rsid w:val="70FD4ACA"/>
    <w:rsid w:val="711653C6"/>
    <w:rsid w:val="717A6835"/>
    <w:rsid w:val="728017B7"/>
    <w:rsid w:val="72D4125D"/>
    <w:rsid w:val="737C7606"/>
    <w:rsid w:val="7384324B"/>
    <w:rsid w:val="74435C13"/>
    <w:rsid w:val="75687B1A"/>
    <w:rsid w:val="759C1E9C"/>
    <w:rsid w:val="75EC2973"/>
    <w:rsid w:val="76BC155A"/>
    <w:rsid w:val="77970AE2"/>
    <w:rsid w:val="7B8450CD"/>
    <w:rsid w:val="7BA934F5"/>
    <w:rsid w:val="7E24655B"/>
    <w:rsid w:val="7EF77A0E"/>
    <w:rsid w:val="7F0439F3"/>
    <w:rsid w:val="7F2D6DB5"/>
    <w:rsid w:val="7FE65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next w:val="1"/>
    <w:qFormat/>
    <w:uiPriority w:val="1"/>
    <w:pPr>
      <w:ind w:left="844"/>
      <w:outlineLvl w:val="1"/>
    </w:pPr>
    <w:rPr>
      <w:rFonts w:ascii="Microsoft JhengHei" w:hAnsi="Microsoft JhengHei" w:eastAsia="Microsoft JhengHei" w:cs="Microsoft JhengHei"/>
      <w:b/>
      <w:bCs/>
      <w:sz w:val="72"/>
      <w:szCs w:val="72"/>
    </w:rPr>
  </w:style>
  <w:style w:type="paragraph" w:styleId="3">
    <w:name w:val="heading 2"/>
    <w:basedOn w:val="1"/>
    <w:next w:val="1"/>
    <w:qFormat/>
    <w:uiPriority w:val="1"/>
    <w:pPr>
      <w:spacing w:line="563" w:lineRule="exact"/>
      <w:ind w:left="2108"/>
      <w:outlineLvl w:val="2"/>
    </w:pPr>
    <w:rPr>
      <w:rFonts w:ascii="Microsoft JhengHei" w:hAnsi="Microsoft JhengHei" w:eastAsia="Microsoft JhengHei" w:cs="Microsoft JhengHei"/>
      <w:b/>
      <w:bCs/>
      <w:sz w:val="44"/>
      <w:szCs w:val="44"/>
    </w:rPr>
  </w:style>
  <w:style w:type="paragraph" w:styleId="4">
    <w:name w:val="heading 3"/>
    <w:basedOn w:val="1"/>
    <w:next w:val="1"/>
    <w:qFormat/>
    <w:uiPriority w:val="1"/>
    <w:pPr>
      <w:spacing w:line="482" w:lineRule="exact"/>
      <w:ind w:left="690"/>
      <w:outlineLvl w:val="3"/>
    </w:pPr>
    <w:rPr>
      <w:rFonts w:ascii="Microsoft JhengHei" w:hAnsi="Microsoft JhengHei" w:eastAsia="Microsoft JhengHei" w:cs="Microsoft JhengHei"/>
      <w:b/>
      <w:bCs/>
      <w:sz w:val="32"/>
      <w:szCs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ind w:left="128"/>
    </w:pPr>
    <w:rPr>
      <w:rFonts w:ascii="宋体" w:hAnsi="宋体" w:eastAsia="宋体" w:cs="宋体"/>
      <w:sz w:val="32"/>
      <w:szCs w:val="32"/>
    </w:rPr>
  </w:style>
  <w:style w:type="paragraph" w:styleId="9">
    <w:name w:val="List Paragraph"/>
    <w:basedOn w:val="1"/>
    <w:qFormat/>
    <w:uiPriority w:val="1"/>
    <w:pPr>
      <w:ind w:left="128" w:hanging="800"/>
    </w:pPr>
    <w:rPr>
      <w:rFonts w:ascii="宋体" w:hAnsi="宋体" w:eastAsia="宋体" w:cs="宋体"/>
    </w:rPr>
  </w:style>
  <w:style w:type="paragraph" w:customStyle="1" w:styleId="10">
    <w:name w:val="Table Paragraph"/>
    <w:basedOn w:val="1"/>
    <w:qFormat/>
    <w:uiPriority w:val="1"/>
    <w:rPr>
      <w:rFonts w:ascii="宋体" w:hAnsi="宋体" w:eastAsia="宋体" w:cs="宋体"/>
    </w:rPr>
  </w:style>
  <w:style w:type="table" w:customStyle="1" w:styleId="1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GIF"/><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3822</Words>
  <Characters>4026</Characters>
  <Lines>0</Lines>
  <Paragraphs>0</Paragraphs>
  <TotalTime>19</TotalTime>
  <ScaleCrop>false</ScaleCrop>
  <LinksUpToDate>false</LinksUpToDate>
  <CharactersWithSpaces>4163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2024-02-05T09:16:00Z</dcterms:created>
  <dc:creator>admin</dc:creator>
  <cp:lastModifiedBy>强</cp:lastModifiedBy>
  <dcterms:modified xsi:type="dcterms:W3CDTF">2026-08-04T08:45:21Z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177637">
    <vt:lpwstr>2052-0.0.0.0</vt:lpwstr>
  </property>
  <property fmtid="{D5CDD505-2E9C-101B-9397-08002B2CF9AE}" pid="3" name="KSOProductBuildVer">
    <vt:lpwstr>2052-12.1.0.28043</vt:lpwstr>
  </property>
  <property fmtid="{D5CDD505-2E9C-101B-9397-08002B2CF9AE}" pid="4" name="ICV">
    <vt:lpwstr>7C90F164CF9C4BC583534BED4667994D_13</vt:lpwstr>
  </property>
  <property fmtid="{D5CDD505-2E9C-101B-9397-08002B2CF9AE}" pid="5" name="KSOTemplateDocerSaveRecord">
    <vt:lpwstr>eyJoZGlkIjoiNjFiMzA2NDljMTUyZTE4YmVkNTVhYTZlYjA5YTVkYzciLCJ1c2VySWQiOiI0NTczNjM0NjUifQ==</vt:lpwstr>
  </property>
</Properties>
</file>