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B72A675">
      <w:pPr>
        <w:spacing w:line="500" w:lineRule="exact"/>
        <w:jc w:val="center"/>
        <w:rPr>
          <w:b/>
          <w:color w:val="000000"/>
          <w:sz w:val="32"/>
        </w:rPr>
      </w:pPr>
      <w:r>
        <w:rPr>
          <w:rFonts w:hint="eastAsia"/>
          <w:b/>
          <w:color w:val="000000"/>
          <w:sz w:val="32"/>
        </w:rPr>
        <w:t>广东温氏南方家禽育种有限公司</w:t>
      </w:r>
    </w:p>
    <w:p w14:paraId="036786CC">
      <w:pPr>
        <w:spacing w:line="500" w:lineRule="exact"/>
        <w:jc w:val="center"/>
        <w:rPr>
          <w:b/>
          <w:color w:val="000000"/>
          <w:sz w:val="32"/>
        </w:rPr>
      </w:pPr>
      <w:r>
        <w:rPr>
          <w:rFonts w:hint="eastAsia"/>
          <w:b/>
          <w:color w:val="000000"/>
          <w:sz w:val="32"/>
        </w:rPr>
        <w:t>鸡苗纸箱采购</w:t>
      </w:r>
      <w:r>
        <w:rPr>
          <w:b/>
          <w:color w:val="000000"/>
          <w:sz w:val="32"/>
        </w:rPr>
        <w:t>招标</w:t>
      </w:r>
      <w:r>
        <w:rPr>
          <w:rFonts w:hint="eastAsia"/>
          <w:b/>
          <w:color w:val="000000"/>
          <w:sz w:val="32"/>
        </w:rPr>
        <w:t>公告</w:t>
      </w:r>
    </w:p>
    <w:p w14:paraId="5AD31F6A">
      <w:pPr>
        <w:spacing w:line="500" w:lineRule="exact"/>
        <w:ind w:firstLine="640" w:firstLineChars="200"/>
        <w:rPr>
          <w:color w:val="000000"/>
          <w:sz w:val="32"/>
        </w:rPr>
      </w:pPr>
    </w:p>
    <w:p w14:paraId="10545B80">
      <w:pPr>
        <w:spacing w:line="500" w:lineRule="exact"/>
        <w:ind w:firstLine="640" w:firstLineChars="200"/>
        <w:rPr>
          <w:color w:val="000000"/>
          <w:sz w:val="32"/>
        </w:rPr>
      </w:pPr>
      <w:r>
        <w:rPr>
          <w:rFonts w:hint="eastAsia"/>
          <w:color w:val="000000"/>
          <w:sz w:val="32"/>
        </w:rPr>
        <w:t>广东温氏南方家禽育种有限公司是一家以家禽育种供种为主体的独立子公司，是温氏</w:t>
      </w:r>
      <w:r>
        <w:rPr>
          <w:rFonts w:hint="eastAsia"/>
          <w:color w:val="000000"/>
          <w:sz w:val="32"/>
          <w:lang w:val="en-US" w:eastAsia="zh-CN"/>
        </w:rPr>
        <w:t>股份</w:t>
      </w:r>
      <w:r>
        <w:rPr>
          <w:rFonts w:hint="eastAsia"/>
          <w:color w:val="000000"/>
          <w:sz w:val="32"/>
        </w:rPr>
        <w:t>下属三级单位。</w:t>
      </w:r>
      <w:r>
        <w:rPr>
          <w:color w:val="000000"/>
          <w:sz w:val="32"/>
        </w:rPr>
        <w:t>为了规范物资采购程序，提高服务质量，通过供应商</w:t>
      </w:r>
      <w:r>
        <w:rPr>
          <w:rFonts w:hint="eastAsia"/>
          <w:color w:val="000000"/>
          <w:sz w:val="32"/>
        </w:rPr>
        <w:t>之间</w:t>
      </w:r>
      <w:r>
        <w:rPr>
          <w:color w:val="000000"/>
          <w:sz w:val="32"/>
        </w:rPr>
        <w:t>合法有序的竞争、择优选择供应商，</w:t>
      </w:r>
      <w:r>
        <w:rPr>
          <w:rFonts w:hint="eastAsia"/>
          <w:color w:val="000000"/>
          <w:sz w:val="32"/>
        </w:rPr>
        <w:t>温氏育种公司</w:t>
      </w:r>
      <w:r>
        <w:rPr>
          <w:color w:val="000000"/>
          <w:sz w:val="32"/>
        </w:rPr>
        <w:t>本着公开、公正、公平的原则，</w:t>
      </w:r>
      <w:r>
        <w:rPr>
          <w:rFonts w:hint="eastAsia"/>
          <w:color w:val="000000"/>
          <w:sz w:val="32"/>
        </w:rPr>
        <w:t>决定</w:t>
      </w:r>
      <w:r>
        <w:rPr>
          <w:color w:val="000000"/>
          <w:sz w:val="32"/>
        </w:rPr>
        <w:t>对</w:t>
      </w:r>
      <w:r>
        <w:rPr>
          <w:rFonts w:hint="eastAsia"/>
          <w:color w:val="000000"/>
          <w:sz w:val="32"/>
        </w:rPr>
        <w:t>育种公司用于鸡苗运输所需的纸箱采购对外公开招标</w:t>
      </w:r>
      <w:r>
        <w:rPr>
          <w:color w:val="000000"/>
          <w:sz w:val="32"/>
        </w:rPr>
        <w:t>。欢迎符合资质要求的供应商参加投标。</w:t>
      </w:r>
    </w:p>
    <w:p w14:paraId="1FD539F3">
      <w:pPr>
        <w:spacing w:line="500" w:lineRule="exact"/>
        <w:rPr>
          <w:b/>
          <w:color w:val="000000"/>
          <w:sz w:val="32"/>
        </w:rPr>
      </w:pPr>
      <w:r>
        <w:rPr>
          <w:rFonts w:hint="eastAsia"/>
          <w:color w:val="000000"/>
          <w:sz w:val="32"/>
        </w:rPr>
        <w:t xml:space="preserve">   </w:t>
      </w:r>
      <w:r>
        <w:rPr>
          <w:rFonts w:hint="eastAsia"/>
          <w:b/>
          <w:color w:val="000000"/>
          <w:sz w:val="32"/>
        </w:rPr>
        <w:t xml:space="preserve"> 一</w:t>
      </w:r>
      <w:r>
        <w:rPr>
          <w:b/>
          <w:color w:val="000000"/>
          <w:sz w:val="32"/>
        </w:rPr>
        <w:t>、招标</w:t>
      </w:r>
      <w:r>
        <w:rPr>
          <w:rFonts w:hint="eastAsia"/>
          <w:b/>
          <w:color w:val="000000"/>
          <w:sz w:val="32"/>
        </w:rPr>
        <w:t>标的</w:t>
      </w:r>
    </w:p>
    <w:p w14:paraId="7E0E0CD5">
      <w:pPr>
        <w:spacing w:line="500" w:lineRule="exact"/>
        <w:ind w:firstLine="640" w:firstLineChars="200"/>
        <w:rPr>
          <w:rFonts w:hint="eastAsia"/>
          <w:color w:val="000000"/>
          <w:sz w:val="32"/>
        </w:rPr>
      </w:pPr>
      <w:r>
        <w:rPr>
          <w:rFonts w:hint="eastAsia"/>
          <w:color w:val="000000"/>
          <w:sz w:val="32"/>
        </w:rPr>
        <w:t>育种公司鸡苗运输所需纸箱：</w:t>
      </w:r>
    </w:p>
    <w:p w14:paraId="2670C1F4">
      <w:pPr>
        <w:spacing w:line="500" w:lineRule="exact"/>
        <w:ind w:firstLine="640" w:firstLineChars="200"/>
        <w:rPr>
          <w:rFonts w:hint="eastAsia"/>
          <w:color w:val="000000"/>
          <w:sz w:val="32"/>
        </w:rPr>
      </w:pPr>
      <w:r>
        <w:rPr>
          <w:rFonts w:hint="eastAsia"/>
          <w:color w:val="000000"/>
          <w:sz w:val="32"/>
        </w:rPr>
        <w:t xml:space="preserve">1、无字纸箱（空白无印刷）；                         </w:t>
      </w:r>
    </w:p>
    <w:p w14:paraId="726522CD">
      <w:pPr>
        <w:spacing w:line="500" w:lineRule="exact"/>
        <w:ind w:firstLine="640" w:firstLineChars="200"/>
        <w:rPr>
          <w:rFonts w:hint="eastAsia"/>
          <w:color w:val="000000"/>
          <w:sz w:val="32"/>
        </w:rPr>
      </w:pPr>
      <w:r>
        <w:rPr>
          <w:rFonts w:hint="eastAsia"/>
          <w:color w:val="000000"/>
          <w:sz w:val="32"/>
        </w:rPr>
        <w:t>2、有字纸箱（印有“温氏标识”</w:t>
      </w:r>
      <w:r>
        <w:rPr>
          <w:rFonts w:hint="eastAsia"/>
          <w:color w:val="000000"/>
          <w:sz w:val="32"/>
          <w:lang w:val="en-US" w:eastAsia="zh-CN"/>
        </w:rPr>
        <w:t>和公司信息</w:t>
      </w:r>
      <w:r>
        <w:rPr>
          <w:rFonts w:hint="eastAsia"/>
          <w:color w:val="000000"/>
          <w:sz w:val="32"/>
        </w:rPr>
        <w:t>）</w:t>
      </w:r>
    </w:p>
    <w:p w14:paraId="43E31B90">
      <w:pPr>
        <w:spacing w:line="500" w:lineRule="exact"/>
        <w:ind w:firstLine="640" w:firstLineChars="200"/>
        <w:rPr>
          <w:color w:val="000000"/>
          <w:sz w:val="32"/>
        </w:rPr>
      </w:pPr>
      <w:r>
        <w:rPr>
          <w:rFonts w:hint="eastAsia"/>
          <w:color w:val="000000"/>
          <w:sz w:val="32"/>
        </w:rPr>
        <w:t>3、箱盖（鸡苗纸箱盖</w:t>
      </w:r>
      <w:r>
        <w:rPr>
          <w:rFonts w:hint="eastAsia"/>
          <w:color w:val="000000"/>
          <w:sz w:val="32"/>
          <w:lang w:val="en-US" w:eastAsia="zh-CN"/>
        </w:rPr>
        <w:t>子</w:t>
      </w:r>
      <w:r>
        <w:rPr>
          <w:rFonts w:hint="eastAsia"/>
          <w:color w:val="000000"/>
          <w:sz w:val="32"/>
        </w:rPr>
        <w:t>）</w:t>
      </w:r>
    </w:p>
    <w:p w14:paraId="0082CD67">
      <w:pPr>
        <w:numPr>
          <w:ilvl w:val="0"/>
          <w:numId w:val="1"/>
        </w:numPr>
        <w:spacing w:line="500" w:lineRule="exact"/>
        <w:ind w:firstLine="643" w:firstLineChars="200"/>
        <w:rPr>
          <w:color w:val="000000"/>
          <w:sz w:val="32"/>
        </w:rPr>
      </w:pPr>
      <w:r>
        <w:rPr>
          <w:rFonts w:hint="eastAsia"/>
          <w:b/>
          <w:color w:val="000000"/>
          <w:sz w:val="32"/>
        </w:rPr>
        <w:t>送货时间及数量：</w:t>
      </w:r>
      <w:r>
        <w:rPr>
          <w:rFonts w:hint="eastAsia"/>
          <w:color w:val="000000"/>
          <w:sz w:val="32"/>
        </w:rPr>
        <w:t>从 202</w:t>
      </w:r>
      <w:r>
        <w:rPr>
          <w:rFonts w:hint="eastAsia"/>
          <w:color w:val="000000"/>
          <w:sz w:val="32"/>
          <w:lang w:val="en-US" w:eastAsia="zh-CN"/>
        </w:rPr>
        <w:t>6</w:t>
      </w:r>
      <w:r>
        <w:rPr>
          <w:rFonts w:hint="eastAsia"/>
          <w:color w:val="000000"/>
          <w:sz w:val="32"/>
        </w:rPr>
        <w:t>年</w:t>
      </w:r>
      <w:r>
        <w:rPr>
          <w:rFonts w:hint="eastAsia"/>
          <w:color w:val="000000"/>
          <w:sz w:val="32"/>
          <w:lang w:val="en-US" w:eastAsia="zh-CN"/>
        </w:rPr>
        <w:t>1</w:t>
      </w:r>
      <w:r>
        <w:rPr>
          <w:rFonts w:hint="eastAsia"/>
          <w:color w:val="000000"/>
          <w:sz w:val="32"/>
        </w:rPr>
        <w:t>月1日起至202</w:t>
      </w:r>
      <w:r>
        <w:rPr>
          <w:rFonts w:hint="eastAsia"/>
          <w:color w:val="000000"/>
          <w:sz w:val="32"/>
          <w:lang w:val="en-US" w:eastAsia="zh-CN"/>
        </w:rPr>
        <w:t>6</w:t>
      </w:r>
      <w:r>
        <w:rPr>
          <w:rFonts w:hint="eastAsia"/>
          <w:color w:val="000000"/>
          <w:sz w:val="32"/>
        </w:rPr>
        <w:t>年</w:t>
      </w:r>
      <w:r>
        <w:rPr>
          <w:rFonts w:hint="eastAsia"/>
          <w:color w:val="000000"/>
          <w:sz w:val="32"/>
          <w:lang w:val="en-US" w:eastAsia="zh-CN"/>
        </w:rPr>
        <w:t>6</w:t>
      </w:r>
      <w:r>
        <w:rPr>
          <w:rFonts w:hint="eastAsia"/>
          <w:color w:val="000000"/>
          <w:sz w:val="32"/>
        </w:rPr>
        <w:t>月3</w:t>
      </w:r>
      <w:r>
        <w:rPr>
          <w:rFonts w:hint="eastAsia"/>
          <w:color w:val="000000"/>
          <w:sz w:val="32"/>
          <w:lang w:val="en-US" w:eastAsia="zh-CN"/>
        </w:rPr>
        <w:t>1</w:t>
      </w:r>
      <w:r>
        <w:rPr>
          <w:rFonts w:hint="eastAsia"/>
          <w:color w:val="000000"/>
          <w:sz w:val="32"/>
        </w:rPr>
        <w:t>日止，每批送货量由需方下属各孵化厂根据库存情况通知供应商送货。本次鸡苗纸箱招标的总量</w:t>
      </w:r>
      <w:r>
        <w:rPr>
          <w:rFonts w:hint="eastAsia"/>
          <w:sz w:val="32"/>
        </w:rPr>
        <w:t>约</w:t>
      </w:r>
      <w:r>
        <w:rPr>
          <w:rFonts w:hint="eastAsia"/>
          <w:color w:val="0000FF"/>
          <w:sz w:val="32"/>
          <w:lang w:val="en-US" w:eastAsia="zh-CN"/>
        </w:rPr>
        <w:t>29.1</w:t>
      </w:r>
      <w:r>
        <w:rPr>
          <w:rFonts w:hint="eastAsia"/>
          <w:sz w:val="32"/>
        </w:rPr>
        <w:t>万套（分</w:t>
      </w:r>
      <w:r>
        <w:rPr>
          <w:rFonts w:hint="eastAsia"/>
          <w:color w:val="0000FF"/>
          <w:sz w:val="32"/>
          <w:lang w:val="en-US" w:eastAsia="zh-CN"/>
        </w:rPr>
        <w:t>5</w:t>
      </w:r>
      <w:r>
        <w:rPr>
          <w:rFonts w:hint="eastAsia"/>
          <w:sz w:val="32"/>
        </w:rPr>
        <w:t>个标的），其中有字纸箱约占</w:t>
      </w:r>
      <w:r>
        <w:rPr>
          <w:rFonts w:hint="eastAsia"/>
          <w:color w:val="0000FF"/>
          <w:sz w:val="32"/>
          <w:lang w:val="en-US" w:eastAsia="zh-CN"/>
        </w:rPr>
        <w:t>30</w:t>
      </w:r>
      <w:r>
        <w:rPr>
          <w:rFonts w:hint="eastAsia"/>
          <w:color w:val="0000FF"/>
          <w:sz w:val="32"/>
        </w:rPr>
        <w:t>%</w:t>
      </w:r>
      <w:r>
        <w:rPr>
          <w:rFonts w:hint="eastAsia"/>
          <w:sz w:val="32"/>
        </w:rPr>
        <w:t>，箱盖约</w:t>
      </w:r>
      <w:r>
        <w:rPr>
          <w:rFonts w:hint="eastAsia"/>
          <w:color w:val="0000FF"/>
          <w:sz w:val="32"/>
          <w:lang w:val="en-US" w:eastAsia="zh-CN"/>
        </w:rPr>
        <w:t>4.9</w:t>
      </w:r>
      <w:r>
        <w:rPr>
          <w:rFonts w:hint="eastAsia"/>
          <w:sz w:val="32"/>
        </w:rPr>
        <w:t>万个（</w:t>
      </w:r>
      <w:r>
        <w:rPr>
          <w:rFonts w:hint="eastAsia"/>
          <w:sz w:val="32"/>
          <w:lang w:val="en-US" w:eastAsia="zh-CN"/>
        </w:rPr>
        <w:t>箱数和箱盖数均为</w:t>
      </w:r>
      <w:r>
        <w:rPr>
          <w:rFonts w:hint="eastAsia"/>
          <w:sz w:val="32"/>
        </w:rPr>
        <w:t>预估数，</w:t>
      </w:r>
      <w:r>
        <w:rPr>
          <w:rFonts w:hint="eastAsia"/>
          <w:sz w:val="32"/>
          <w:lang w:val="en-US" w:eastAsia="zh-CN"/>
        </w:rPr>
        <w:t>最终</w:t>
      </w:r>
      <w:r>
        <w:rPr>
          <w:rFonts w:hint="eastAsia"/>
          <w:color w:val="000000"/>
          <w:sz w:val="32"/>
        </w:rPr>
        <w:t>以实际需求为准），分</w:t>
      </w:r>
      <w:r>
        <w:rPr>
          <w:rFonts w:hint="eastAsia"/>
          <w:color w:val="0000FF"/>
          <w:sz w:val="32"/>
          <w:lang w:val="en-US" w:eastAsia="zh-CN"/>
        </w:rPr>
        <w:t>五</w:t>
      </w:r>
      <w:r>
        <w:rPr>
          <w:rFonts w:hint="eastAsia"/>
          <w:color w:val="000000"/>
          <w:sz w:val="32"/>
        </w:rPr>
        <w:t>个标的分别投标。</w:t>
      </w:r>
      <w:r>
        <w:rPr>
          <w:rFonts w:hint="eastAsia"/>
          <w:color w:val="000000"/>
          <w:sz w:val="32"/>
          <w:lang w:val="en-US" w:eastAsia="zh-CN"/>
        </w:rPr>
        <w:t>具体预估数见下表：</w:t>
      </w:r>
    </w:p>
    <w:tbl>
      <w:tblPr>
        <w:tblStyle w:val="7"/>
        <w:tblW w:w="9320" w:type="dxa"/>
        <w:jc w:val="center"/>
        <w:tblLayout w:type="fixed"/>
        <w:tblCellMar>
          <w:top w:w="0" w:type="dxa"/>
          <w:left w:w="108" w:type="dxa"/>
          <w:bottom w:w="0" w:type="dxa"/>
          <w:right w:w="108" w:type="dxa"/>
        </w:tblCellMar>
      </w:tblPr>
      <w:tblGrid>
        <w:gridCol w:w="1829"/>
        <w:gridCol w:w="991"/>
        <w:gridCol w:w="1180"/>
        <w:gridCol w:w="1180"/>
        <w:gridCol w:w="2640"/>
        <w:gridCol w:w="1500"/>
      </w:tblGrid>
      <w:tr w14:paraId="33CBA47C">
        <w:tblPrEx>
          <w:tblCellMar>
            <w:top w:w="0" w:type="dxa"/>
            <w:left w:w="108" w:type="dxa"/>
            <w:bottom w:w="0" w:type="dxa"/>
            <w:right w:w="108" w:type="dxa"/>
          </w:tblCellMar>
        </w:tblPrEx>
        <w:trPr>
          <w:trHeight w:val="405" w:hRule="atLeast"/>
          <w:jc w:val="center"/>
        </w:trPr>
        <w:tc>
          <w:tcPr>
            <w:tcW w:w="1829"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361ECAC9">
            <w:pPr>
              <w:widowControl/>
              <w:jc w:val="center"/>
              <w:rPr>
                <w:rFonts w:ascii="宋体" w:hAnsi="宋体" w:cs="宋体"/>
                <w:color w:val="000000"/>
                <w:kern w:val="0"/>
                <w:sz w:val="22"/>
                <w:szCs w:val="22"/>
              </w:rPr>
            </w:pPr>
            <w:r>
              <w:rPr>
                <w:rFonts w:hint="eastAsia" w:ascii="宋体" w:hAnsi="宋体" w:cs="宋体"/>
                <w:color w:val="000000"/>
                <w:kern w:val="0"/>
                <w:sz w:val="22"/>
                <w:szCs w:val="22"/>
              </w:rPr>
              <w:t>孵化厂</w:t>
            </w:r>
          </w:p>
        </w:tc>
        <w:tc>
          <w:tcPr>
            <w:tcW w:w="3351" w:type="dxa"/>
            <w:gridSpan w:val="3"/>
            <w:tcBorders>
              <w:top w:val="single" w:color="auto" w:sz="4" w:space="0"/>
              <w:left w:val="nil"/>
              <w:bottom w:val="single" w:color="auto" w:sz="4" w:space="0"/>
              <w:right w:val="single" w:color="000000" w:sz="4" w:space="0"/>
            </w:tcBorders>
            <w:shd w:val="clear" w:color="auto" w:fill="auto"/>
            <w:noWrap/>
            <w:vAlign w:val="center"/>
          </w:tcPr>
          <w:p w14:paraId="3AA25258">
            <w:pPr>
              <w:widowControl/>
              <w:jc w:val="center"/>
              <w:rPr>
                <w:rFonts w:ascii="宋体" w:hAnsi="宋体" w:cs="宋体"/>
                <w:color w:val="000000"/>
                <w:kern w:val="0"/>
                <w:sz w:val="22"/>
                <w:szCs w:val="22"/>
              </w:rPr>
            </w:pPr>
            <w:r>
              <w:rPr>
                <w:rFonts w:hint="eastAsia" w:ascii="宋体" w:hAnsi="宋体" w:cs="宋体"/>
                <w:color w:val="000000"/>
                <w:kern w:val="0"/>
                <w:sz w:val="22"/>
                <w:szCs w:val="22"/>
              </w:rPr>
              <w:t>品类及预计需求数量(套)</w:t>
            </w:r>
          </w:p>
        </w:tc>
        <w:tc>
          <w:tcPr>
            <w:tcW w:w="264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20281F77">
            <w:pPr>
              <w:widowControl/>
              <w:jc w:val="center"/>
              <w:rPr>
                <w:rFonts w:ascii="宋体" w:hAnsi="宋体" w:cs="宋体"/>
                <w:color w:val="000000"/>
                <w:kern w:val="0"/>
                <w:sz w:val="22"/>
                <w:szCs w:val="22"/>
              </w:rPr>
            </w:pPr>
            <w:r>
              <w:rPr>
                <w:rFonts w:hint="eastAsia" w:ascii="宋体" w:hAnsi="宋体" w:cs="宋体"/>
                <w:color w:val="000000"/>
                <w:kern w:val="0"/>
                <w:sz w:val="22"/>
                <w:szCs w:val="22"/>
              </w:rPr>
              <w:t>送货地址</w:t>
            </w:r>
          </w:p>
        </w:tc>
        <w:tc>
          <w:tcPr>
            <w:tcW w:w="1500"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7545F496">
            <w:pPr>
              <w:widowControl/>
              <w:jc w:val="center"/>
              <w:rPr>
                <w:rFonts w:ascii="宋体" w:hAnsi="宋体" w:cs="宋体"/>
                <w:color w:val="000000"/>
                <w:kern w:val="0"/>
                <w:sz w:val="22"/>
                <w:szCs w:val="22"/>
              </w:rPr>
            </w:pPr>
            <w:r>
              <w:rPr>
                <w:rFonts w:hint="eastAsia" w:ascii="宋体" w:hAnsi="宋体" w:cs="宋体"/>
                <w:color w:val="000000"/>
                <w:kern w:val="0"/>
                <w:sz w:val="22"/>
                <w:szCs w:val="22"/>
              </w:rPr>
              <w:t>标的号</w:t>
            </w:r>
          </w:p>
        </w:tc>
      </w:tr>
      <w:tr w14:paraId="3DA30995">
        <w:tblPrEx>
          <w:tblCellMar>
            <w:top w:w="0" w:type="dxa"/>
            <w:left w:w="108" w:type="dxa"/>
            <w:bottom w:w="0" w:type="dxa"/>
            <w:right w:w="108" w:type="dxa"/>
          </w:tblCellMar>
        </w:tblPrEx>
        <w:trPr>
          <w:trHeight w:val="525" w:hRule="atLeast"/>
          <w:jc w:val="center"/>
        </w:trPr>
        <w:tc>
          <w:tcPr>
            <w:tcW w:w="1829" w:type="dxa"/>
            <w:vMerge w:val="continue"/>
            <w:tcBorders>
              <w:top w:val="single" w:color="auto" w:sz="4" w:space="0"/>
              <w:left w:val="single" w:color="auto" w:sz="4" w:space="0"/>
              <w:bottom w:val="single" w:color="000000" w:sz="4" w:space="0"/>
              <w:right w:val="single" w:color="auto" w:sz="4" w:space="0"/>
            </w:tcBorders>
            <w:vAlign w:val="center"/>
          </w:tcPr>
          <w:p w14:paraId="6FCE8681">
            <w:pPr>
              <w:widowControl/>
              <w:jc w:val="left"/>
              <w:rPr>
                <w:rFonts w:ascii="宋体" w:hAnsi="宋体" w:cs="宋体"/>
                <w:color w:val="000000"/>
                <w:kern w:val="0"/>
                <w:sz w:val="22"/>
                <w:szCs w:val="22"/>
              </w:rPr>
            </w:pPr>
          </w:p>
        </w:tc>
        <w:tc>
          <w:tcPr>
            <w:tcW w:w="991" w:type="dxa"/>
            <w:tcBorders>
              <w:top w:val="nil"/>
              <w:left w:val="nil"/>
              <w:bottom w:val="single" w:color="auto" w:sz="4" w:space="0"/>
              <w:right w:val="single" w:color="auto" w:sz="4" w:space="0"/>
            </w:tcBorders>
            <w:shd w:val="clear" w:color="auto" w:fill="auto"/>
            <w:vAlign w:val="center"/>
          </w:tcPr>
          <w:p w14:paraId="6B7C2A8D">
            <w:pPr>
              <w:widowControl/>
              <w:jc w:val="center"/>
              <w:rPr>
                <w:rFonts w:ascii="宋体" w:hAnsi="宋体" w:cs="宋体"/>
                <w:color w:val="000000"/>
                <w:kern w:val="0"/>
                <w:sz w:val="22"/>
                <w:szCs w:val="22"/>
              </w:rPr>
            </w:pPr>
            <w:r>
              <w:rPr>
                <w:rFonts w:hint="eastAsia" w:ascii="宋体" w:hAnsi="宋体" w:cs="宋体"/>
                <w:color w:val="000000"/>
                <w:kern w:val="0"/>
                <w:sz w:val="22"/>
                <w:szCs w:val="22"/>
              </w:rPr>
              <w:t>有字纸箱(套)</w:t>
            </w:r>
          </w:p>
        </w:tc>
        <w:tc>
          <w:tcPr>
            <w:tcW w:w="1180" w:type="dxa"/>
            <w:tcBorders>
              <w:top w:val="nil"/>
              <w:left w:val="nil"/>
              <w:bottom w:val="single" w:color="auto" w:sz="4" w:space="0"/>
              <w:right w:val="single" w:color="auto" w:sz="4" w:space="0"/>
            </w:tcBorders>
            <w:shd w:val="clear" w:color="auto" w:fill="auto"/>
            <w:vAlign w:val="center"/>
          </w:tcPr>
          <w:p w14:paraId="360FFAED">
            <w:pPr>
              <w:widowControl/>
              <w:jc w:val="center"/>
              <w:rPr>
                <w:rFonts w:ascii="宋体" w:hAnsi="宋体" w:cs="宋体"/>
                <w:color w:val="000000"/>
                <w:kern w:val="0"/>
                <w:sz w:val="22"/>
                <w:szCs w:val="22"/>
              </w:rPr>
            </w:pPr>
            <w:r>
              <w:rPr>
                <w:rFonts w:hint="eastAsia" w:ascii="宋体" w:hAnsi="宋体" w:cs="宋体"/>
                <w:color w:val="000000"/>
                <w:kern w:val="0"/>
                <w:sz w:val="22"/>
                <w:szCs w:val="22"/>
              </w:rPr>
              <w:t>无字纸箱(套)</w:t>
            </w:r>
          </w:p>
        </w:tc>
        <w:tc>
          <w:tcPr>
            <w:tcW w:w="1180" w:type="dxa"/>
            <w:tcBorders>
              <w:top w:val="nil"/>
              <w:left w:val="nil"/>
              <w:bottom w:val="single" w:color="auto" w:sz="4" w:space="0"/>
              <w:right w:val="single" w:color="auto" w:sz="4" w:space="0"/>
            </w:tcBorders>
            <w:shd w:val="clear" w:color="auto" w:fill="auto"/>
            <w:noWrap/>
            <w:vAlign w:val="center"/>
          </w:tcPr>
          <w:p w14:paraId="6C7BE9AB">
            <w:pPr>
              <w:widowControl/>
              <w:jc w:val="center"/>
              <w:rPr>
                <w:rFonts w:ascii="宋体" w:hAnsi="宋体" w:cs="宋体"/>
                <w:color w:val="000000"/>
                <w:kern w:val="0"/>
                <w:sz w:val="22"/>
                <w:szCs w:val="22"/>
              </w:rPr>
            </w:pPr>
            <w:r>
              <w:rPr>
                <w:rFonts w:hint="eastAsia" w:ascii="宋体" w:hAnsi="宋体" w:cs="宋体"/>
                <w:color w:val="000000"/>
                <w:kern w:val="0"/>
                <w:sz w:val="22"/>
                <w:szCs w:val="22"/>
              </w:rPr>
              <w:t>箱盖(个)</w:t>
            </w:r>
          </w:p>
        </w:tc>
        <w:tc>
          <w:tcPr>
            <w:tcW w:w="2640" w:type="dxa"/>
            <w:vMerge w:val="continue"/>
            <w:tcBorders>
              <w:top w:val="single" w:color="auto" w:sz="4" w:space="0"/>
              <w:left w:val="single" w:color="auto" w:sz="4" w:space="0"/>
              <w:bottom w:val="single" w:color="000000" w:sz="4" w:space="0"/>
              <w:right w:val="single" w:color="auto" w:sz="4" w:space="0"/>
            </w:tcBorders>
            <w:vAlign w:val="center"/>
          </w:tcPr>
          <w:p w14:paraId="7476A56B">
            <w:pPr>
              <w:widowControl/>
              <w:jc w:val="left"/>
              <w:rPr>
                <w:rFonts w:ascii="宋体" w:hAnsi="宋体" w:cs="宋体"/>
                <w:color w:val="000000"/>
                <w:kern w:val="0"/>
                <w:sz w:val="22"/>
                <w:szCs w:val="22"/>
              </w:rPr>
            </w:pPr>
          </w:p>
        </w:tc>
        <w:tc>
          <w:tcPr>
            <w:tcW w:w="1500" w:type="dxa"/>
            <w:vMerge w:val="continue"/>
            <w:tcBorders>
              <w:top w:val="single" w:color="auto" w:sz="4" w:space="0"/>
              <w:left w:val="single" w:color="auto" w:sz="4" w:space="0"/>
              <w:bottom w:val="single" w:color="000000" w:sz="4" w:space="0"/>
              <w:right w:val="single" w:color="auto" w:sz="4" w:space="0"/>
            </w:tcBorders>
            <w:vAlign w:val="center"/>
          </w:tcPr>
          <w:p w14:paraId="6D882EB3">
            <w:pPr>
              <w:widowControl/>
              <w:jc w:val="left"/>
              <w:rPr>
                <w:rFonts w:ascii="宋体" w:hAnsi="宋体" w:cs="宋体"/>
                <w:color w:val="000000"/>
                <w:kern w:val="0"/>
                <w:sz w:val="22"/>
                <w:szCs w:val="22"/>
              </w:rPr>
            </w:pPr>
          </w:p>
        </w:tc>
      </w:tr>
      <w:tr w14:paraId="68045993">
        <w:tblPrEx>
          <w:tblCellMar>
            <w:top w:w="0" w:type="dxa"/>
            <w:left w:w="108" w:type="dxa"/>
            <w:bottom w:w="0" w:type="dxa"/>
            <w:right w:w="108" w:type="dxa"/>
          </w:tblCellMar>
        </w:tblPrEx>
        <w:trPr>
          <w:trHeight w:val="630" w:hRule="atLeast"/>
          <w:jc w:val="center"/>
        </w:trPr>
        <w:tc>
          <w:tcPr>
            <w:tcW w:w="1829" w:type="dxa"/>
            <w:tcBorders>
              <w:top w:val="nil"/>
              <w:left w:val="single" w:color="auto" w:sz="4" w:space="0"/>
              <w:bottom w:val="single" w:color="auto" w:sz="4" w:space="0"/>
              <w:right w:val="single" w:color="auto" w:sz="4" w:space="0"/>
            </w:tcBorders>
            <w:shd w:val="clear" w:color="auto" w:fill="auto"/>
            <w:noWrap/>
            <w:vAlign w:val="center"/>
          </w:tcPr>
          <w:p w14:paraId="4E0AD3BB">
            <w:pPr>
              <w:widowControl/>
              <w:jc w:val="center"/>
              <w:rPr>
                <w:rFonts w:ascii="宋体" w:hAnsi="宋体" w:cs="宋体"/>
                <w:color w:val="000000"/>
                <w:kern w:val="0"/>
                <w:sz w:val="22"/>
                <w:szCs w:val="22"/>
              </w:rPr>
            </w:pPr>
            <w:r>
              <w:rPr>
                <w:rFonts w:hint="eastAsia" w:ascii="宋体" w:hAnsi="宋体" w:cs="宋体"/>
                <w:color w:val="000000"/>
                <w:kern w:val="0"/>
                <w:sz w:val="22"/>
                <w:szCs w:val="22"/>
              </w:rPr>
              <w:t>蚕田孵化厂</w:t>
            </w:r>
          </w:p>
        </w:tc>
        <w:tc>
          <w:tcPr>
            <w:tcW w:w="991" w:type="dxa"/>
            <w:tcBorders>
              <w:top w:val="nil"/>
              <w:left w:val="nil"/>
              <w:bottom w:val="single" w:color="auto" w:sz="4" w:space="0"/>
              <w:right w:val="single" w:color="auto" w:sz="4" w:space="0"/>
            </w:tcBorders>
            <w:shd w:val="clear" w:color="auto" w:fill="auto"/>
            <w:noWrap/>
            <w:vAlign w:val="bottom"/>
          </w:tcPr>
          <w:p w14:paraId="73F2C11F">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9000</w:t>
            </w:r>
          </w:p>
        </w:tc>
        <w:tc>
          <w:tcPr>
            <w:tcW w:w="1180" w:type="dxa"/>
            <w:tcBorders>
              <w:top w:val="nil"/>
              <w:left w:val="nil"/>
              <w:bottom w:val="single" w:color="auto" w:sz="4" w:space="0"/>
              <w:right w:val="single" w:color="auto" w:sz="4" w:space="0"/>
            </w:tcBorders>
            <w:shd w:val="clear" w:color="auto" w:fill="auto"/>
            <w:noWrap/>
            <w:vAlign w:val="bottom"/>
          </w:tcPr>
          <w:p w14:paraId="7819BE5F">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28000</w:t>
            </w:r>
          </w:p>
        </w:tc>
        <w:tc>
          <w:tcPr>
            <w:tcW w:w="1180" w:type="dxa"/>
            <w:tcBorders>
              <w:top w:val="nil"/>
              <w:left w:val="nil"/>
              <w:bottom w:val="single" w:color="auto" w:sz="4" w:space="0"/>
              <w:right w:val="single" w:color="auto" w:sz="4" w:space="0"/>
            </w:tcBorders>
            <w:shd w:val="clear" w:color="auto" w:fill="auto"/>
            <w:noWrap/>
            <w:vAlign w:val="bottom"/>
          </w:tcPr>
          <w:p w14:paraId="627AFD60">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4000</w:t>
            </w:r>
          </w:p>
        </w:tc>
        <w:tc>
          <w:tcPr>
            <w:tcW w:w="2640" w:type="dxa"/>
            <w:tcBorders>
              <w:top w:val="nil"/>
              <w:left w:val="nil"/>
              <w:bottom w:val="single" w:color="auto" w:sz="4" w:space="0"/>
              <w:right w:val="single" w:color="auto" w:sz="4" w:space="0"/>
            </w:tcBorders>
            <w:shd w:val="clear" w:color="auto" w:fill="auto"/>
            <w:vAlign w:val="center"/>
          </w:tcPr>
          <w:p w14:paraId="4797B102">
            <w:pPr>
              <w:widowControl/>
              <w:jc w:val="left"/>
              <w:rPr>
                <w:rFonts w:ascii="宋体" w:hAnsi="宋体" w:cs="宋体"/>
                <w:color w:val="000000"/>
                <w:kern w:val="0"/>
                <w:sz w:val="22"/>
                <w:szCs w:val="22"/>
              </w:rPr>
            </w:pPr>
            <w:r>
              <w:rPr>
                <w:rFonts w:hint="eastAsia" w:ascii="宋体" w:hAnsi="宋体" w:cs="宋体"/>
                <w:color w:val="000000"/>
                <w:kern w:val="0"/>
                <w:sz w:val="22"/>
                <w:szCs w:val="22"/>
              </w:rPr>
              <w:t>广东省新兴县水台镇蚕田育种场</w:t>
            </w:r>
          </w:p>
        </w:tc>
        <w:tc>
          <w:tcPr>
            <w:tcW w:w="1500" w:type="dxa"/>
            <w:vMerge w:val="restart"/>
            <w:tcBorders>
              <w:top w:val="nil"/>
              <w:left w:val="single" w:color="auto" w:sz="4" w:space="0"/>
              <w:bottom w:val="single" w:color="auto" w:sz="4" w:space="0"/>
              <w:right w:val="single" w:color="auto" w:sz="4" w:space="0"/>
            </w:tcBorders>
            <w:shd w:val="clear" w:color="auto" w:fill="auto"/>
            <w:noWrap/>
            <w:vAlign w:val="center"/>
          </w:tcPr>
          <w:p w14:paraId="6D6CAF91">
            <w:pPr>
              <w:widowControl/>
              <w:jc w:val="center"/>
              <w:rPr>
                <w:rFonts w:ascii="宋体" w:hAnsi="宋体" w:cs="宋体"/>
                <w:color w:val="000000"/>
                <w:kern w:val="0"/>
                <w:sz w:val="22"/>
                <w:szCs w:val="22"/>
              </w:rPr>
            </w:pPr>
            <w:r>
              <w:rPr>
                <w:rFonts w:hint="eastAsia" w:ascii="宋体" w:hAnsi="宋体" w:cs="宋体"/>
                <w:color w:val="000000"/>
                <w:kern w:val="0"/>
                <w:sz w:val="22"/>
                <w:szCs w:val="22"/>
              </w:rPr>
              <w:t>第一标</w:t>
            </w:r>
          </w:p>
        </w:tc>
      </w:tr>
      <w:tr w14:paraId="26246FAE">
        <w:tblPrEx>
          <w:tblCellMar>
            <w:top w:w="0" w:type="dxa"/>
            <w:left w:w="108" w:type="dxa"/>
            <w:bottom w:w="0" w:type="dxa"/>
            <w:right w:w="108" w:type="dxa"/>
          </w:tblCellMar>
        </w:tblPrEx>
        <w:trPr>
          <w:trHeight w:val="630" w:hRule="atLeast"/>
          <w:jc w:val="center"/>
        </w:trPr>
        <w:tc>
          <w:tcPr>
            <w:tcW w:w="1829" w:type="dxa"/>
            <w:tcBorders>
              <w:top w:val="nil"/>
              <w:left w:val="single" w:color="auto" w:sz="4" w:space="0"/>
              <w:bottom w:val="single" w:color="auto" w:sz="4" w:space="0"/>
              <w:right w:val="single" w:color="auto" w:sz="4" w:space="0"/>
            </w:tcBorders>
            <w:shd w:val="clear" w:color="auto" w:fill="auto"/>
            <w:noWrap/>
            <w:vAlign w:val="center"/>
          </w:tcPr>
          <w:p w14:paraId="7B0390EA">
            <w:pPr>
              <w:widowControl/>
              <w:jc w:val="center"/>
              <w:rPr>
                <w:rFonts w:ascii="宋体" w:hAnsi="宋体" w:cs="宋体"/>
                <w:color w:val="000000"/>
                <w:kern w:val="0"/>
                <w:sz w:val="22"/>
                <w:szCs w:val="22"/>
              </w:rPr>
            </w:pPr>
            <w:r>
              <w:rPr>
                <w:rFonts w:hint="eastAsia" w:ascii="宋体" w:hAnsi="宋体" w:cs="宋体"/>
                <w:color w:val="000000"/>
                <w:kern w:val="0"/>
                <w:sz w:val="22"/>
                <w:szCs w:val="22"/>
              </w:rPr>
              <w:t>河头孵化厂</w:t>
            </w:r>
          </w:p>
        </w:tc>
        <w:tc>
          <w:tcPr>
            <w:tcW w:w="991" w:type="dxa"/>
            <w:tcBorders>
              <w:top w:val="nil"/>
              <w:left w:val="nil"/>
              <w:bottom w:val="single" w:color="auto" w:sz="4" w:space="0"/>
              <w:right w:val="single" w:color="auto" w:sz="4" w:space="0"/>
            </w:tcBorders>
            <w:shd w:val="clear" w:color="auto" w:fill="auto"/>
            <w:noWrap/>
            <w:vAlign w:val="bottom"/>
          </w:tcPr>
          <w:p w14:paraId="3AC90771">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7000</w:t>
            </w:r>
          </w:p>
        </w:tc>
        <w:tc>
          <w:tcPr>
            <w:tcW w:w="1180" w:type="dxa"/>
            <w:tcBorders>
              <w:top w:val="nil"/>
              <w:left w:val="nil"/>
              <w:bottom w:val="single" w:color="auto" w:sz="4" w:space="0"/>
              <w:right w:val="single" w:color="auto" w:sz="4" w:space="0"/>
            </w:tcBorders>
            <w:shd w:val="clear" w:color="auto" w:fill="auto"/>
            <w:noWrap/>
            <w:vAlign w:val="bottom"/>
          </w:tcPr>
          <w:p w14:paraId="43A89D4A">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27000</w:t>
            </w:r>
          </w:p>
        </w:tc>
        <w:tc>
          <w:tcPr>
            <w:tcW w:w="1180" w:type="dxa"/>
            <w:tcBorders>
              <w:top w:val="nil"/>
              <w:left w:val="nil"/>
              <w:bottom w:val="single" w:color="auto" w:sz="4" w:space="0"/>
              <w:right w:val="single" w:color="auto" w:sz="4" w:space="0"/>
            </w:tcBorders>
            <w:shd w:val="clear" w:color="auto" w:fill="auto"/>
            <w:noWrap/>
            <w:vAlign w:val="bottom"/>
          </w:tcPr>
          <w:p w14:paraId="60ED1D3F">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2000</w:t>
            </w:r>
          </w:p>
        </w:tc>
        <w:tc>
          <w:tcPr>
            <w:tcW w:w="2640" w:type="dxa"/>
            <w:tcBorders>
              <w:top w:val="nil"/>
              <w:left w:val="nil"/>
              <w:bottom w:val="single" w:color="auto" w:sz="4" w:space="0"/>
              <w:right w:val="single" w:color="auto" w:sz="4" w:space="0"/>
            </w:tcBorders>
            <w:shd w:val="clear" w:color="auto" w:fill="auto"/>
            <w:vAlign w:val="center"/>
          </w:tcPr>
          <w:p w14:paraId="7BE616DE">
            <w:pPr>
              <w:widowControl/>
              <w:jc w:val="left"/>
              <w:rPr>
                <w:rFonts w:ascii="宋体" w:hAnsi="宋体" w:cs="宋体"/>
                <w:color w:val="000000"/>
                <w:kern w:val="0"/>
                <w:sz w:val="22"/>
                <w:szCs w:val="22"/>
              </w:rPr>
            </w:pPr>
            <w:r>
              <w:rPr>
                <w:rFonts w:hint="eastAsia" w:ascii="宋体" w:hAnsi="宋体" w:cs="宋体"/>
                <w:color w:val="000000"/>
                <w:kern w:val="0"/>
                <w:sz w:val="22"/>
                <w:szCs w:val="22"/>
              </w:rPr>
              <w:t>广东省新兴县河头镇苏群村河头育种场</w:t>
            </w:r>
          </w:p>
        </w:tc>
        <w:tc>
          <w:tcPr>
            <w:tcW w:w="1500" w:type="dxa"/>
            <w:vMerge w:val="continue"/>
            <w:tcBorders>
              <w:top w:val="nil"/>
              <w:left w:val="single" w:color="auto" w:sz="4" w:space="0"/>
              <w:bottom w:val="single" w:color="auto" w:sz="4" w:space="0"/>
              <w:right w:val="single" w:color="auto" w:sz="4" w:space="0"/>
            </w:tcBorders>
            <w:vAlign w:val="center"/>
          </w:tcPr>
          <w:p w14:paraId="03432BCD">
            <w:pPr>
              <w:widowControl/>
              <w:jc w:val="left"/>
              <w:rPr>
                <w:rFonts w:ascii="宋体" w:hAnsi="宋体" w:cs="宋体"/>
                <w:color w:val="000000"/>
                <w:kern w:val="0"/>
                <w:sz w:val="22"/>
                <w:szCs w:val="22"/>
              </w:rPr>
            </w:pPr>
          </w:p>
        </w:tc>
      </w:tr>
      <w:tr w14:paraId="7B58F203">
        <w:tblPrEx>
          <w:tblCellMar>
            <w:top w:w="0" w:type="dxa"/>
            <w:left w:w="108" w:type="dxa"/>
            <w:bottom w:w="0" w:type="dxa"/>
            <w:right w:w="108" w:type="dxa"/>
          </w:tblCellMar>
        </w:tblPrEx>
        <w:trPr>
          <w:trHeight w:val="630" w:hRule="atLeast"/>
          <w:jc w:val="center"/>
        </w:trPr>
        <w:tc>
          <w:tcPr>
            <w:tcW w:w="1829" w:type="dxa"/>
            <w:tcBorders>
              <w:top w:val="nil"/>
              <w:left w:val="single" w:color="auto" w:sz="4" w:space="0"/>
              <w:bottom w:val="single" w:color="auto" w:sz="4" w:space="0"/>
              <w:right w:val="single" w:color="auto" w:sz="4" w:space="0"/>
            </w:tcBorders>
            <w:shd w:val="clear" w:color="auto" w:fill="auto"/>
            <w:noWrap/>
            <w:vAlign w:val="center"/>
          </w:tcPr>
          <w:p w14:paraId="195A4757">
            <w:pPr>
              <w:widowControl/>
              <w:jc w:val="center"/>
              <w:rPr>
                <w:rFonts w:ascii="宋体" w:hAnsi="宋体" w:cs="宋体"/>
                <w:color w:val="000000"/>
                <w:kern w:val="0"/>
                <w:sz w:val="22"/>
                <w:szCs w:val="22"/>
              </w:rPr>
            </w:pPr>
            <w:r>
              <w:rPr>
                <w:rFonts w:hint="eastAsia" w:ascii="宋体" w:hAnsi="宋体" w:cs="宋体"/>
                <w:color w:val="000000"/>
                <w:kern w:val="0"/>
                <w:sz w:val="22"/>
                <w:szCs w:val="22"/>
              </w:rPr>
              <w:t>罗布孵化厂</w:t>
            </w:r>
          </w:p>
        </w:tc>
        <w:tc>
          <w:tcPr>
            <w:tcW w:w="991" w:type="dxa"/>
            <w:tcBorders>
              <w:top w:val="nil"/>
              <w:left w:val="nil"/>
              <w:bottom w:val="single" w:color="auto" w:sz="4" w:space="0"/>
              <w:right w:val="single" w:color="auto" w:sz="4" w:space="0"/>
            </w:tcBorders>
            <w:shd w:val="clear" w:color="auto" w:fill="auto"/>
            <w:noWrap/>
            <w:vAlign w:val="bottom"/>
          </w:tcPr>
          <w:p w14:paraId="24428CB3">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5000</w:t>
            </w:r>
          </w:p>
        </w:tc>
        <w:tc>
          <w:tcPr>
            <w:tcW w:w="1180" w:type="dxa"/>
            <w:tcBorders>
              <w:top w:val="nil"/>
              <w:left w:val="nil"/>
              <w:bottom w:val="single" w:color="auto" w:sz="4" w:space="0"/>
              <w:right w:val="single" w:color="auto" w:sz="4" w:space="0"/>
            </w:tcBorders>
            <w:shd w:val="clear" w:color="auto" w:fill="auto"/>
            <w:noWrap/>
            <w:vAlign w:val="bottom"/>
          </w:tcPr>
          <w:p w14:paraId="72A82235">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33000</w:t>
            </w:r>
          </w:p>
        </w:tc>
        <w:tc>
          <w:tcPr>
            <w:tcW w:w="1180" w:type="dxa"/>
            <w:tcBorders>
              <w:top w:val="nil"/>
              <w:left w:val="nil"/>
              <w:bottom w:val="single" w:color="auto" w:sz="4" w:space="0"/>
              <w:right w:val="single" w:color="auto" w:sz="4" w:space="0"/>
            </w:tcBorders>
            <w:shd w:val="clear" w:color="auto" w:fill="auto"/>
            <w:noWrap/>
            <w:vAlign w:val="bottom"/>
          </w:tcPr>
          <w:p w14:paraId="05C17D5C">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1000</w:t>
            </w:r>
          </w:p>
        </w:tc>
        <w:tc>
          <w:tcPr>
            <w:tcW w:w="2640" w:type="dxa"/>
            <w:tcBorders>
              <w:top w:val="nil"/>
              <w:left w:val="nil"/>
              <w:bottom w:val="single" w:color="auto" w:sz="4" w:space="0"/>
              <w:right w:val="single" w:color="auto" w:sz="4" w:space="0"/>
            </w:tcBorders>
            <w:shd w:val="clear" w:color="auto" w:fill="auto"/>
            <w:vAlign w:val="center"/>
          </w:tcPr>
          <w:p w14:paraId="5A71978E">
            <w:pPr>
              <w:widowControl/>
              <w:jc w:val="left"/>
              <w:rPr>
                <w:rFonts w:ascii="宋体" w:hAnsi="宋体" w:cs="宋体"/>
                <w:color w:val="000000"/>
                <w:kern w:val="0"/>
                <w:sz w:val="22"/>
                <w:szCs w:val="22"/>
              </w:rPr>
            </w:pPr>
            <w:r>
              <w:rPr>
                <w:rFonts w:hint="eastAsia" w:ascii="宋体" w:hAnsi="宋体" w:cs="宋体"/>
                <w:color w:val="000000"/>
                <w:kern w:val="0"/>
                <w:sz w:val="22"/>
                <w:szCs w:val="22"/>
              </w:rPr>
              <w:t>肇庆市鼎湖区莲花镇罗布村</w:t>
            </w:r>
          </w:p>
        </w:tc>
        <w:tc>
          <w:tcPr>
            <w:tcW w:w="1500" w:type="dxa"/>
            <w:vMerge w:val="continue"/>
            <w:tcBorders>
              <w:top w:val="nil"/>
              <w:left w:val="single" w:color="auto" w:sz="4" w:space="0"/>
              <w:bottom w:val="single" w:color="auto" w:sz="4" w:space="0"/>
              <w:right w:val="single" w:color="auto" w:sz="4" w:space="0"/>
            </w:tcBorders>
            <w:vAlign w:val="center"/>
          </w:tcPr>
          <w:p w14:paraId="4F3FFCE0">
            <w:pPr>
              <w:widowControl/>
              <w:jc w:val="left"/>
              <w:rPr>
                <w:rFonts w:ascii="宋体" w:hAnsi="宋体" w:cs="宋体"/>
                <w:color w:val="000000"/>
                <w:kern w:val="0"/>
                <w:sz w:val="22"/>
                <w:szCs w:val="22"/>
              </w:rPr>
            </w:pPr>
          </w:p>
        </w:tc>
      </w:tr>
      <w:tr w14:paraId="7FFAFE70">
        <w:tblPrEx>
          <w:tblCellMar>
            <w:top w:w="0" w:type="dxa"/>
            <w:left w:w="108" w:type="dxa"/>
            <w:bottom w:w="0" w:type="dxa"/>
            <w:right w:w="108" w:type="dxa"/>
          </w:tblCellMar>
        </w:tblPrEx>
        <w:trPr>
          <w:trHeight w:val="630" w:hRule="atLeast"/>
          <w:jc w:val="center"/>
        </w:trPr>
        <w:tc>
          <w:tcPr>
            <w:tcW w:w="1829" w:type="dxa"/>
            <w:tcBorders>
              <w:top w:val="nil"/>
              <w:left w:val="single" w:color="auto" w:sz="4" w:space="0"/>
              <w:bottom w:val="single" w:color="auto" w:sz="4" w:space="0"/>
              <w:right w:val="single" w:color="auto" w:sz="4" w:space="0"/>
            </w:tcBorders>
            <w:shd w:val="clear" w:color="auto" w:fill="auto"/>
            <w:noWrap/>
            <w:vAlign w:val="center"/>
          </w:tcPr>
          <w:p w14:paraId="3D5E0684">
            <w:pPr>
              <w:widowControl/>
              <w:jc w:val="center"/>
              <w:rPr>
                <w:rFonts w:ascii="宋体" w:hAnsi="宋体" w:cs="宋体"/>
                <w:color w:val="000000"/>
                <w:kern w:val="0"/>
                <w:sz w:val="22"/>
                <w:szCs w:val="22"/>
              </w:rPr>
            </w:pPr>
            <w:r>
              <w:rPr>
                <w:rFonts w:hint="eastAsia" w:ascii="宋体" w:hAnsi="宋体" w:cs="宋体"/>
                <w:color w:val="000000"/>
                <w:kern w:val="0"/>
                <w:sz w:val="22"/>
                <w:szCs w:val="22"/>
              </w:rPr>
              <w:t>阳山孵化厂</w:t>
            </w:r>
          </w:p>
        </w:tc>
        <w:tc>
          <w:tcPr>
            <w:tcW w:w="991" w:type="dxa"/>
            <w:tcBorders>
              <w:top w:val="nil"/>
              <w:left w:val="nil"/>
              <w:bottom w:val="single" w:color="auto" w:sz="4" w:space="0"/>
              <w:right w:val="single" w:color="auto" w:sz="4" w:space="0"/>
            </w:tcBorders>
            <w:shd w:val="clear" w:color="auto" w:fill="auto"/>
            <w:noWrap/>
            <w:vAlign w:val="bottom"/>
          </w:tcPr>
          <w:p w14:paraId="22247CF7">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15000</w:t>
            </w:r>
          </w:p>
        </w:tc>
        <w:tc>
          <w:tcPr>
            <w:tcW w:w="1180" w:type="dxa"/>
            <w:tcBorders>
              <w:top w:val="nil"/>
              <w:left w:val="nil"/>
              <w:bottom w:val="single" w:color="auto" w:sz="4" w:space="0"/>
              <w:right w:val="single" w:color="auto" w:sz="4" w:space="0"/>
            </w:tcBorders>
            <w:shd w:val="clear" w:color="auto" w:fill="auto"/>
            <w:noWrap/>
            <w:vAlign w:val="bottom"/>
          </w:tcPr>
          <w:p w14:paraId="042E47F6">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18000</w:t>
            </w:r>
          </w:p>
        </w:tc>
        <w:tc>
          <w:tcPr>
            <w:tcW w:w="1180" w:type="dxa"/>
            <w:tcBorders>
              <w:top w:val="nil"/>
              <w:left w:val="nil"/>
              <w:bottom w:val="single" w:color="auto" w:sz="4" w:space="0"/>
              <w:right w:val="single" w:color="auto" w:sz="4" w:space="0"/>
            </w:tcBorders>
            <w:shd w:val="clear" w:color="auto" w:fill="auto"/>
            <w:noWrap/>
            <w:vAlign w:val="bottom"/>
          </w:tcPr>
          <w:p w14:paraId="76B77072">
            <w:pPr>
              <w:keepNext w:val="0"/>
              <w:keepLines w:val="0"/>
              <w:widowControl/>
              <w:suppressLineNumbers w:val="0"/>
              <w:jc w:val="center"/>
              <w:textAlignment w:val="bottom"/>
              <w:rPr>
                <w:rFonts w:hint="default" w:ascii="Times New Roman" w:hAnsi="Times New Roman" w:cs="Times New Roman"/>
                <w:color w:val="000000"/>
                <w:sz w:val="22"/>
                <w:szCs w:val="22"/>
              </w:rPr>
            </w:pPr>
            <w:r>
              <w:rPr>
                <w:rFonts w:hint="eastAsia" w:ascii="宋体" w:hAnsi="宋体" w:eastAsia="宋体" w:cs="宋体"/>
                <w:i w:val="0"/>
                <w:iCs w:val="0"/>
                <w:color w:val="000000"/>
                <w:kern w:val="0"/>
                <w:sz w:val="22"/>
                <w:szCs w:val="22"/>
                <w:u w:val="none"/>
                <w:lang w:val="en-US" w:eastAsia="zh-CN" w:bidi="ar"/>
              </w:rPr>
              <w:t>800</w:t>
            </w:r>
          </w:p>
        </w:tc>
        <w:tc>
          <w:tcPr>
            <w:tcW w:w="2640" w:type="dxa"/>
            <w:tcBorders>
              <w:top w:val="nil"/>
              <w:left w:val="nil"/>
              <w:bottom w:val="single" w:color="auto" w:sz="4" w:space="0"/>
              <w:right w:val="single" w:color="auto" w:sz="4" w:space="0"/>
            </w:tcBorders>
            <w:shd w:val="clear" w:color="auto" w:fill="auto"/>
            <w:vAlign w:val="center"/>
          </w:tcPr>
          <w:p w14:paraId="01581B55">
            <w:pPr>
              <w:widowControl/>
              <w:jc w:val="left"/>
              <w:rPr>
                <w:rFonts w:ascii="宋体" w:hAnsi="宋体" w:cs="宋体"/>
                <w:color w:val="000000"/>
                <w:kern w:val="0"/>
                <w:sz w:val="22"/>
                <w:szCs w:val="22"/>
              </w:rPr>
            </w:pPr>
            <w:r>
              <w:rPr>
                <w:rFonts w:hint="eastAsia" w:ascii="宋体" w:hAnsi="宋体" w:cs="宋体"/>
                <w:color w:val="000000"/>
                <w:kern w:val="0"/>
                <w:sz w:val="22"/>
                <w:szCs w:val="22"/>
              </w:rPr>
              <w:t>清远市阳山县岭背镇龙塘村</w:t>
            </w:r>
          </w:p>
        </w:tc>
        <w:tc>
          <w:tcPr>
            <w:tcW w:w="1500" w:type="dxa"/>
            <w:vMerge w:val="continue"/>
            <w:tcBorders>
              <w:top w:val="nil"/>
              <w:left w:val="single" w:color="auto" w:sz="4" w:space="0"/>
              <w:bottom w:val="single" w:color="auto" w:sz="4" w:space="0"/>
              <w:right w:val="single" w:color="auto" w:sz="4" w:space="0"/>
            </w:tcBorders>
            <w:vAlign w:val="center"/>
          </w:tcPr>
          <w:p w14:paraId="0D5A5180">
            <w:pPr>
              <w:widowControl/>
              <w:jc w:val="left"/>
              <w:rPr>
                <w:rFonts w:ascii="宋体" w:hAnsi="宋体" w:cs="宋体"/>
                <w:color w:val="000000"/>
                <w:kern w:val="0"/>
                <w:sz w:val="22"/>
                <w:szCs w:val="22"/>
              </w:rPr>
            </w:pPr>
          </w:p>
        </w:tc>
      </w:tr>
      <w:tr w14:paraId="6FB29E47">
        <w:tblPrEx>
          <w:tblCellMar>
            <w:top w:w="0" w:type="dxa"/>
            <w:left w:w="108" w:type="dxa"/>
            <w:bottom w:w="0" w:type="dxa"/>
            <w:right w:w="108" w:type="dxa"/>
          </w:tblCellMar>
        </w:tblPrEx>
        <w:trPr>
          <w:trHeight w:val="450" w:hRule="atLeast"/>
          <w:jc w:val="center"/>
        </w:trPr>
        <w:tc>
          <w:tcPr>
            <w:tcW w:w="1829" w:type="dxa"/>
            <w:tcBorders>
              <w:top w:val="nil"/>
              <w:left w:val="single" w:color="auto" w:sz="4" w:space="0"/>
              <w:bottom w:val="single" w:color="auto" w:sz="4" w:space="0"/>
              <w:right w:val="single" w:color="auto" w:sz="4" w:space="0"/>
            </w:tcBorders>
            <w:shd w:val="clear" w:color="auto" w:fill="auto"/>
            <w:noWrap/>
            <w:vAlign w:val="center"/>
          </w:tcPr>
          <w:p w14:paraId="2CA5177F">
            <w:pPr>
              <w:widowControl/>
              <w:jc w:val="center"/>
              <w:rPr>
                <w:rFonts w:hint="default" w:ascii="宋体" w:hAnsi="宋体" w:eastAsia="宋体" w:cs="宋体"/>
                <w:b/>
                <w:bCs/>
                <w:color w:val="000000"/>
                <w:kern w:val="0"/>
                <w:sz w:val="22"/>
                <w:szCs w:val="22"/>
                <w:lang w:val="en-US" w:eastAsia="zh-CN"/>
              </w:rPr>
            </w:pPr>
            <w:r>
              <w:rPr>
                <w:rFonts w:hint="eastAsia" w:ascii="宋体" w:hAnsi="宋体" w:cs="宋体"/>
                <w:b w:val="0"/>
                <w:bCs w:val="0"/>
                <w:color w:val="000000"/>
                <w:kern w:val="0"/>
                <w:sz w:val="22"/>
                <w:szCs w:val="22"/>
                <w:lang w:val="en-US" w:eastAsia="zh-CN"/>
              </w:rPr>
              <w:t>英德孵化厂</w:t>
            </w:r>
          </w:p>
        </w:tc>
        <w:tc>
          <w:tcPr>
            <w:tcW w:w="991" w:type="dxa"/>
            <w:tcBorders>
              <w:top w:val="nil"/>
              <w:left w:val="nil"/>
              <w:bottom w:val="single" w:color="auto" w:sz="4" w:space="0"/>
              <w:right w:val="single" w:color="auto" w:sz="4" w:space="0"/>
            </w:tcBorders>
            <w:shd w:val="clear" w:color="auto" w:fill="auto"/>
            <w:noWrap/>
            <w:vAlign w:val="bottom"/>
          </w:tcPr>
          <w:p w14:paraId="71C26736">
            <w:pPr>
              <w:keepNext w:val="0"/>
              <w:keepLines w:val="0"/>
              <w:widowControl/>
              <w:suppressLineNumbers w:val="0"/>
              <w:jc w:val="center"/>
              <w:textAlignment w:val="bottom"/>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2000</w:t>
            </w:r>
          </w:p>
        </w:tc>
        <w:tc>
          <w:tcPr>
            <w:tcW w:w="1180" w:type="dxa"/>
            <w:tcBorders>
              <w:top w:val="nil"/>
              <w:left w:val="nil"/>
              <w:bottom w:val="single" w:color="auto" w:sz="4" w:space="0"/>
              <w:right w:val="single" w:color="auto" w:sz="4" w:space="0"/>
            </w:tcBorders>
            <w:shd w:val="clear" w:color="auto" w:fill="auto"/>
            <w:noWrap/>
            <w:vAlign w:val="bottom"/>
          </w:tcPr>
          <w:p w14:paraId="3C99A525">
            <w:pPr>
              <w:keepNext w:val="0"/>
              <w:keepLines w:val="0"/>
              <w:widowControl/>
              <w:suppressLineNumbers w:val="0"/>
              <w:jc w:val="center"/>
              <w:textAlignment w:val="bottom"/>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18000</w:t>
            </w:r>
          </w:p>
        </w:tc>
        <w:tc>
          <w:tcPr>
            <w:tcW w:w="1180" w:type="dxa"/>
            <w:tcBorders>
              <w:top w:val="nil"/>
              <w:left w:val="nil"/>
              <w:bottom w:val="single" w:color="auto" w:sz="4" w:space="0"/>
              <w:right w:val="single" w:color="auto" w:sz="4" w:space="0"/>
            </w:tcBorders>
            <w:shd w:val="clear" w:color="auto" w:fill="auto"/>
            <w:noWrap/>
            <w:vAlign w:val="bottom"/>
          </w:tcPr>
          <w:p w14:paraId="2177AF97">
            <w:pPr>
              <w:keepNext w:val="0"/>
              <w:keepLines w:val="0"/>
              <w:widowControl/>
              <w:suppressLineNumbers w:val="0"/>
              <w:jc w:val="center"/>
              <w:textAlignment w:val="bottom"/>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1000</w:t>
            </w:r>
          </w:p>
        </w:tc>
        <w:tc>
          <w:tcPr>
            <w:tcW w:w="2640" w:type="dxa"/>
            <w:tcBorders>
              <w:top w:val="nil"/>
              <w:left w:val="nil"/>
              <w:bottom w:val="single" w:color="auto" w:sz="4" w:space="0"/>
              <w:right w:val="single" w:color="auto" w:sz="4" w:space="0"/>
            </w:tcBorders>
            <w:shd w:val="clear" w:color="auto" w:fill="auto"/>
            <w:vAlign w:val="center"/>
          </w:tcPr>
          <w:p w14:paraId="647BDC52">
            <w:pPr>
              <w:keepNext w:val="0"/>
              <w:keepLines w:val="0"/>
              <w:widowControl/>
              <w:suppressLineNumbers w:val="0"/>
              <w:jc w:val="center"/>
              <w:textAlignment w:val="center"/>
              <w:rPr>
                <w:rFonts w:hint="eastAsia" w:ascii="宋体" w:hAnsi="宋体" w:cs="宋体"/>
                <w:color w:val="auto"/>
                <w:kern w:val="0"/>
                <w:sz w:val="22"/>
                <w:szCs w:val="22"/>
              </w:rPr>
            </w:pPr>
            <w:r>
              <w:rPr>
                <w:rFonts w:hint="eastAsia" w:ascii="宋体" w:hAnsi="宋体" w:cs="宋体"/>
                <w:i w:val="0"/>
                <w:iCs w:val="0"/>
                <w:color w:val="auto"/>
                <w:kern w:val="0"/>
                <w:sz w:val="22"/>
                <w:szCs w:val="22"/>
                <w:u w:val="none"/>
                <w:lang w:val="en-US" w:eastAsia="zh-CN" w:bidi="ar"/>
              </w:rPr>
              <w:t>广东省</w:t>
            </w:r>
            <w:r>
              <w:rPr>
                <w:rFonts w:hint="eastAsia" w:ascii="宋体" w:hAnsi="宋体" w:eastAsia="宋体" w:cs="宋体"/>
                <w:i w:val="0"/>
                <w:iCs w:val="0"/>
                <w:color w:val="auto"/>
                <w:kern w:val="0"/>
                <w:sz w:val="22"/>
                <w:szCs w:val="22"/>
                <w:u w:val="none"/>
                <w:lang w:val="en-US" w:eastAsia="zh-CN" w:bidi="ar"/>
              </w:rPr>
              <w:t>清远市英德市石灰铺镇保安村委莲塘坪温氏英德祖代鸡场</w:t>
            </w:r>
          </w:p>
        </w:tc>
        <w:tc>
          <w:tcPr>
            <w:tcW w:w="1500" w:type="dxa"/>
            <w:vMerge w:val="continue"/>
            <w:tcBorders>
              <w:top w:val="nil"/>
              <w:left w:val="single" w:color="auto" w:sz="4" w:space="0"/>
              <w:bottom w:val="single" w:color="auto" w:sz="4" w:space="0"/>
              <w:right w:val="single" w:color="auto" w:sz="4" w:space="0"/>
            </w:tcBorders>
            <w:vAlign w:val="center"/>
          </w:tcPr>
          <w:p w14:paraId="733EB91A">
            <w:pPr>
              <w:widowControl/>
              <w:jc w:val="left"/>
              <w:rPr>
                <w:rFonts w:ascii="宋体" w:hAnsi="宋体" w:cs="宋体"/>
                <w:color w:val="000000"/>
                <w:kern w:val="0"/>
                <w:sz w:val="22"/>
                <w:szCs w:val="22"/>
              </w:rPr>
            </w:pPr>
          </w:p>
        </w:tc>
      </w:tr>
      <w:tr w14:paraId="57B8C884">
        <w:tblPrEx>
          <w:tblCellMar>
            <w:top w:w="0" w:type="dxa"/>
            <w:left w:w="108" w:type="dxa"/>
            <w:bottom w:w="0" w:type="dxa"/>
            <w:right w:w="108" w:type="dxa"/>
          </w:tblCellMar>
        </w:tblPrEx>
        <w:trPr>
          <w:trHeight w:val="450" w:hRule="atLeast"/>
          <w:jc w:val="center"/>
        </w:trPr>
        <w:tc>
          <w:tcPr>
            <w:tcW w:w="1829" w:type="dxa"/>
            <w:tcBorders>
              <w:top w:val="nil"/>
              <w:left w:val="single" w:color="auto" w:sz="4" w:space="0"/>
              <w:bottom w:val="single" w:color="auto" w:sz="4" w:space="0"/>
              <w:right w:val="single" w:color="auto" w:sz="4" w:space="0"/>
            </w:tcBorders>
            <w:shd w:val="clear" w:color="auto" w:fill="auto"/>
            <w:noWrap/>
            <w:vAlign w:val="center"/>
          </w:tcPr>
          <w:p w14:paraId="08C47240">
            <w:pPr>
              <w:widowControl/>
              <w:jc w:val="center"/>
              <w:rPr>
                <w:rFonts w:hint="eastAsia" w:ascii="宋体" w:hAnsi="宋体" w:cs="宋体"/>
                <w:b/>
                <w:bCs/>
                <w:color w:val="000000"/>
                <w:kern w:val="0"/>
                <w:sz w:val="22"/>
                <w:szCs w:val="22"/>
              </w:rPr>
            </w:pPr>
            <w:r>
              <w:rPr>
                <w:rFonts w:hint="eastAsia" w:ascii="宋体" w:hAnsi="宋体" w:cs="宋体"/>
                <w:b w:val="0"/>
                <w:bCs w:val="0"/>
                <w:color w:val="000000"/>
                <w:kern w:val="0"/>
                <w:sz w:val="22"/>
                <w:szCs w:val="22"/>
                <w:lang w:val="en-US" w:eastAsia="zh-CN"/>
              </w:rPr>
              <w:t>思劳孵化厂</w:t>
            </w:r>
          </w:p>
        </w:tc>
        <w:tc>
          <w:tcPr>
            <w:tcW w:w="991" w:type="dxa"/>
            <w:tcBorders>
              <w:top w:val="nil"/>
              <w:left w:val="nil"/>
              <w:bottom w:val="single" w:color="auto" w:sz="4" w:space="0"/>
              <w:right w:val="single" w:color="auto" w:sz="4" w:space="0"/>
            </w:tcBorders>
            <w:shd w:val="clear" w:color="auto" w:fill="auto"/>
            <w:noWrap/>
            <w:vAlign w:val="bottom"/>
          </w:tcPr>
          <w:p w14:paraId="0819925B">
            <w:pPr>
              <w:jc w:val="center"/>
              <w:rPr>
                <w:rFonts w:hint="default" w:ascii="Times New Roman" w:hAnsi="Times New Roman" w:eastAsia="宋体" w:cs="Times New Roman"/>
                <w:b/>
                <w:bCs/>
                <w:color w:val="000000"/>
                <w:sz w:val="22"/>
                <w:szCs w:val="22"/>
                <w:lang w:val="en-US" w:eastAsia="zh-CN"/>
              </w:rPr>
            </w:pPr>
          </w:p>
        </w:tc>
        <w:tc>
          <w:tcPr>
            <w:tcW w:w="1180" w:type="dxa"/>
            <w:tcBorders>
              <w:top w:val="nil"/>
              <w:left w:val="nil"/>
              <w:bottom w:val="single" w:color="auto" w:sz="4" w:space="0"/>
              <w:right w:val="single" w:color="auto" w:sz="4" w:space="0"/>
            </w:tcBorders>
            <w:shd w:val="clear" w:color="auto" w:fill="auto"/>
            <w:noWrap/>
            <w:vAlign w:val="bottom"/>
          </w:tcPr>
          <w:p w14:paraId="163316DD">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32000</w:t>
            </w:r>
          </w:p>
        </w:tc>
        <w:tc>
          <w:tcPr>
            <w:tcW w:w="1180" w:type="dxa"/>
            <w:tcBorders>
              <w:top w:val="nil"/>
              <w:left w:val="nil"/>
              <w:bottom w:val="single" w:color="auto" w:sz="4" w:space="0"/>
              <w:right w:val="single" w:color="auto" w:sz="4" w:space="0"/>
            </w:tcBorders>
            <w:shd w:val="clear" w:color="auto" w:fill="auto"/>
            <w:noWrap/>
            <w:vAlign w:val="bottom"/>
          </w:tcPr>
          <w:p w14:paraId="5C6C989A">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32000</w:t>
            </w:r>
          </w:p>
        </w:tc>
        <w:tc>
          <w:tcPr>
            <w:tcW w:w="2640" w:type="dxa"/>
            <w:tcBorders>
              <w:top w:val="nil"/>
              <w:left w:val="nil"/>
              <w:bottom w:val="single" w:color="auto" w:sz="4" w:space="0"/>
              <w:right w:val="single" w:color="auto" w:sz="4" w:space="0"/>
            </w:tcBorders>
            <w:shd w:val="clear" w:color="auto" w:fill="auto"/>
            <w:vAlign w:val="center"/>
          </w:tcPr>
          <w:p w14:paraId="7337753F">
            <w:pPr>
              <w:keepNext w:val="0"/>
              <w:keepLines w:val="0"/>
              <w:widowControl/>
              <w:suppressLineNumbers w:val="0"/>
              <w:jc w:val="center"/>
              <w:textAlignment w:val="center"/>
              <w:rPr>
                <w:rFonts w:hint="eastAsia" w:ascii="宋体" w:hAnsi="宋体" w:cs="宋体"/>
                <w:color w:val="auto"/>
                <w:kern w:val="0"/>
                <w:sz w:val="22"/>
                <w:szCs w:val="22"/>
              </w:rPr>
            </w:pPr>
            <w:r>
              <w:rPr>
                <w:rFonts w:hint="eastAsia" w:ascii="宋体" w:hAnsi="宋体" w:eastAsia="宋体" w:cs="宋体"/>
                <w:i w:val="0"/>
                <w:iCs w:val="0"/>
                <w:color w:val="auto"/>
                <w:kern w:val="0"/>
                <w:sz w:val="22"/>
                <w:szCs w:val="22"/>
                <w:u w:val="none"/>
                <w:lang w:val="en-US" w:eastAsia="zh-CN" w:bidi="ar"/>
              </w:rPr>
              <w:t>广东省云浮市思劳镇云城温氏思劳孵化厂</w:t>
            </w:r>
          </w:p>
        </w:tc>
        <w:tc>
          <w:tcPr>
            <w:tcW w:w="1500" w:type="dxa"/>
            <w:vMerge w:val="continue"/>
            <w:tcBorders>
              <w:top w:val="nil"/>
              <w:left w:val="single" w:color="auto" w:sz="4" w:space="0"/>
              <w:bottom w:val="single" w:color="auto" w:sz="4" w:space="0"/>
              <w:right w:val="single" w:color="auto" w:sz="4" w:space="0"/>
            </w:tcBorders>
            <w:vAlign w:val="center"/>
          </w:tcPr>
          <w:p w14:paraId="55704C3E">
            <w:pPr>
              <w:widowControl/>
              <w:jc w:val="left"/>
              <w:rPr>
                <w:rFonts w:ascii="宋体" w:hAnsi="宋体" w:cs="宋体"/>
                <w:color w:val="000000"/>
                <w:kern w:val="0"/>
                <w:sz w:val="22"/>
                <w:szCs w:val="22"/>
              </w:rPr>
            </w:pPr>
          </w:p>
        </w:tc>
      </w:tr>
      <w:tr w14:paraId="278313EE">
        <w:tblPrEx>
          <w:tblCellMar>
            <w:top w:w="0" w:type="dxa"/>
            <w:left w:w="108" w:type="dxa"/>
            <w:bottom w:w="0" w:type="dxa"/>
            <w:right w:w="108" w:type="dxa"/>
          </w:tblCellMar>
        </w:tblPrEx>
        <w:trPr>
          <w:trHeight w:val="450" w:hRule="atLeast"/>
          <w:jc w:val="center"/>
        </w:trPr>
        <w:tc>
          <w:tcPr>
            <w:tcW w:w="1829" w:type="dxa"/>
            <w:tcBorders>
              <w:top w:val="nil"/>
              <w:left w:val="single" w:color="auto" w:sz="4" w:space="0"/>
              <w:bottom w:val="single" w:color="auto" w:sz="4" w:space="0"/>
              <w:right w:val="single" w:color="auto" w:sz="4" w:space="0"/>
            </w:tcBorders>
            <w:shd w:val="clear" w:color="auto" w:fill="auto"/>
            <w:noWrap/>
            <w:vAlign w:val="center"/>
          </w:tcPr>
          <w:p w14:paraId="565626C8">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广东区小计</w:t>
            </w:r>
          </w:p>
        </w:tc>
        <w:tc>
          <w:tcPr>
            <w:tcW w:w="991" w:type="dxa"/>
            <w:tcBorders>
              <w:top w:val="nil"/>
              <w:left w:val="nil"/>
              <w:bottom w:val="single" w:color="auto" w:sz="4" w:space="0"/>
              <w:right w:val="single" w:color="auto" w:sz="4" w:space="0"/>
            </w:tcBorders>
            <w:shd w:val="clear" w:color="auto" w:fill="auto"/>
            <w:noWrap/>
            <w:vAlign w:val="bottom"/>
          </w:tcPr>
          <w:p w14:paraId="274095F5">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38000</w:t>
            </w:r>
          </w:p>
        </w:tc>
        <w:tc>
          <w:tcPr>
            <w:tcW w:w="1180" w:type="dxa"/>
            <w:tcBorders>
              <w:top w:val="nil"/>
              <w:left w:val="nil"/>
              <w:bottom w:val="single" w:color="auto" w:sz="4" w:space="0"/>
              <w:right w:val="single" w:color="auto" w:sz="4" w:space="0"/>
            </w:tcBorders>
            <w:shd w:val="clear" w:color="auto" w:fill="auto"/>
            <w:noWrap/>
            <w:vAlign w:val="bottom"/>
          </w:tcPr>
          <w:p w14:paraId="4CFF9188">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124000</w:t>
            </w:r>
          </w:p>
        </w:tc>
        <w:tc>
          <w:tcPr>
            <w:tcW w:w="1180" w:type="dxa"/>
            <w:tcBorders>
              <w:top w:val="nil"/>
              <w:left w:val="nil"/>
              <w:bottom w:val="single" w:color="auto" w:sz="4" w:space="0"/>
              <w:right w:val="single" w:color="auto" w:sz="4" w:space="0"/>
            </w:tcBorders>
            <w:shd w:val="clear" w:color="auto" w:fill="auto"/>
            <w:noWrap/>
            <w:vAlign w:val="bottom"/>
          </w:tcPr>
          <w:p w14:paraId="5FB0BFBF">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8800</w:t>
            </w:r>
          </w:p>
        </w:tc>
        <w:tc>
          <w:tcPr>
            <w:tcW w:w="2640" w:type="dxa"/>
            <w:tcBorders>
              <w:top w:val="nil"/>
              <w:left w:val="nil"/>
              <w:bottom w:val="single" w:color="auto" w:sz="4" w:space="0"/>
              <w:right w:val="single" w:color="auto" w:sz="4" w:space="0"/>
            </w:tcBorders>
            <w:shd w:val="clear" w:color="auto" w:fill="auto"/>
            <w:vAlign w:val="center"/>
          </w:tcPr>
          <w:p w14:paraId="55A1AA99">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500" w:type="dxa"/>
            <w:vMerge w:val="continue"/>
            <w:tcBorders>
              <w:top w:val="nil"/>
              <w:left w:val="single" w:color="auto" w:sz="4" w:space="0"/>
              <w:bottom w:val="single" w:color="auto" w:sz="4" w:space="0"/>
              <w:right w:val="single" w:color="auto" w:sz="4" w:space="0"/>
            </w:tcBorders>
            <w:vAlign w:val="center"/>
          </w:tcPr>
          <w:p w14:paraId="38FE94C3">
            <w:pPr>
              <w:widowControl/>
              <w:jc w:val="left"/>
              <w:rPr>
                <w:rFonts w:ascii="宋体" w:hAnsi="宋体" w:cs="宋体"/>
                <w:color w:val="000000"/>
                <w:kern w:val="0"/>
                <w:sz w:val="22"/>
                <w:szCs w:val="22"/>
              </w:rPr>
            </w:pPr>
          </w:p>
        </w:tc>
      </w:tr>
      <w:tr w14:paraId="21148B3B">
        <w:tblPrEx>
          <w:tblCellMar>
            <w:top w:w="0" w:type="dxa"/>
            <w:left w:w="108" w:type="dxa"/>
            <w:bottom w:w="0" w:type="dxa"/>
            <w:right w:w="108" w:type="dxa"/>
          </w:tblCellMar>
        </w:tblPrEx>
        <w:trPr>
          <w:trHeight w:val="630" w:hRule="atLeast"/>
          <w:jc w:val="center"/>
        </w:trPr>
        <w:tc>
          <w:tcPr>
            <w:tcW w:w="1829" w:type="dxa"/>
            <w:tcBorders>
              <w:top w:val="nil"/>
              <w:left w:val="single" w:color="auto" w:sz="4" w:space="0"/>
              <w:bottom w:val="single" w:color="auto" w:sz="4" w:space="0"/>
              <w:right w:val="single" w:color="auto" w:sz="4" w:space="0"/>
            </w:tcBorders>
            <w:shd w:val="clear" w:color="auto" w:fill="auto"/>
            <w:vAlign w:val="center"/>
          </w:tcPr>
          <w:p w14:paraId="3B17002B">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光明孵化厂(江苏南京区)</w:t>
            </w:r>
          </w:p>
        </w:tc>
        <w:tc>
          <w:tcPr>
            <w:tcW w:w="991" w:type="dxa"/>
            <w:tcBorders>
              <w:top w:val="nil"/>
              <w:left w:val="nil"/>
              <w:bottom w:val="single" w:color="auto" w:sz="4" w:space="0"/>
              <w:right w:val="single" w:color="auto" w:sz="4" w:space="0"/>
            </w:tcBorders>
            <w:shd w:val="clear" w:color="auto" w:fill="auto"/>
            <w:noWrap/>
            <w:vAlign w:val="center"/>
          </w:tcPr>
          <w:p w14:paraId="1F7795D9">
            <w:pPr>
              <w:keepNext w:val="0"/>
              <w:keepLines w:val="0"/>
              <w:widowControl/>
              <w:suppressLineNumbers w:val="0"/>
              <w:jc w:val="center"/>
              <w:textAlignment w:val="center"/>
              <w:rPr>
                <w:rFonts w:hint="default" w:ascii="Times New Roman" w:hAnsi="Times New Roman" w:eastAsia="宋体" w:cs="Times New Roman"/>
                <w:b/>
                <w:bCs/>
                <w:color w:val="000000"/>
                <w:sz w:val="22"/>
                <w:szCs w:val="22"/>
                <w:lang w:val="en-US" w:eastAsia="zh-CN"/>
              </w:rPr>
            </w:pPr>
            <w:r>
              <w:rPr>
                <w:rFonts w:hint="default" w:ascii="Times New Roman" w:hAnsi="Times New Roman" w:eastAsia="宋体" w:cs="Times New Roman"/>
                <w:b/>
                <w:bCs/>
                <w:i w:val="0"/>
                <w:iCs w:val="0"/>
                <w:color w:val="000000"/>
                <w:kern w:val="0"/>
                <w:sz w:val="22"/>
                <w:szCs w:val="22"/>
                <w:u w:val="none"/>
                <w:lang w:val="en-US" w:eastAsia="zh-CN" w:bidi="ar"/>
              </w:rPr>
              <w:t>0</w:t>
            </w:r>
          </w:p>
        </w:tc>
        <w:tc>
          <w:tcPr>
            <w:tcW w:w="1180" w:type="dxa"/>
            <w:tcBorders>
              <w:top w:val="nil"/>
              <w:left w:val="nil"/>
              <w:bottom w:val="single" w:color="auto" w:sz="4" w:space="0"/>
              <w:right w:val="single" w:color="auto" w:sz="4" w:space="0"/>
            </w:tcBorders>
            <w:shd w:val="clear" w:color="auto" w:fill="auto"/>
            <w:noWrap/>
            <w:vAlign w:val="bottom"/>
          </w:tcPr>
          <w:p w14:paraId="43DFA93D">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15000</w:t>
            </w:r>
          </w:p>
        </w:tc>
        <w:tc>
          <w:tcPr>
            <w:tcW w:w="1180" w:type="dxa"/>
            <w:tcBorders>
              <w:top w:val="nil"/>
              <w:left w:val="nil"/>
              <w:bottom w:val="single" w:color="auto" w:sz="4" w:space="0"/>
              <w:right w:val="single" w:color="auto" w:sz="4" w:space="0"/>
            </w:tcBorders>
            <w:shd w:val="clear" w:color="auto" w:fill="auto"/>
            <w:noWrap/>
            <w:vAlign w:val="bottom"/>
          </w:tcPr>
          <w:p w14:paraId="0BEC53CA">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2000</w:t>
            </w:r>
          </w:p>
        </w:tc>
        <w:tc>
          <w:tcPr>
            <w:tcW w:w="2640" w:type="dxa"/>
            <w:tcBorders>
              <w:top w:val="nil"/>
              <w:left w:val="nil"/>
              <w:bottom w:val="single" w:color="auto" w:sz="4" w:space="0"/>
              <w:right w:val="single" w:color="auto" w:sz="4" w:space="0"/>
            </w:tcBorders>
            <w:shd w:val="clear" w:color="auto" w:fill="auto"/>
            <w:vAlign w:val="center"/>
          </w:tcPr>
          <w:p w14:paraId="5EA8FF70">
            <w:pPr>
              <w:widowControl/>
              <w:jc w:val="left"/>
              <w:rPr>
                <w:rFonts w:ascii="宋体" w:hAnsi="宋体" w:cs="宋体"/>
                <w:color w:val="000000"/>
                <w:kern w:val="0"/>
                <w:sz w:val="22"/>
                <w:szCs w:val="22"/>
              </w:rPr>
            </w:pPr>
            <w:r>
              <w:rPr>
                <w:rFonts w:hint="eastAsia" w:ascii="宋体" w:hAnsi="宋体" w:cs="宋体"/>
                <w:color w:val="000000"/>
                <w:kern w:val="0"/>
                <w:sz w:val="22"/>
                <w:szCs w:val="22"/>
              </w:rPr>
              <w:t>江苏省南京市溧水区石湫镇光明村</w:t>
            </w:r>
          </w:p>
        </w:tc>
        <w:tc>
          <w:tcPr>
            <w:tcW w:w="1500" w:type="dxa"/>
            <w:tcBorders>
              <w:top w:val="nil"/>
              <w:left w:val="nil"/>
              <w:bottom w:val="single" w:color="auto" w:sz="4" w:space="0"/>
              <w:right w:val="single" w:color="auto" w:sz="4" w:space="0"/>
            </w:tcBorders>
            <w:shd w:val="clear" w:color="auto" w:fill="auto"/>
            <w:noWrap/>
            <w:vAlign w:val="center"/>
          </w:tcPr>
          <w:p w14:paraId="5CE79F18">
            <w:pPr>
              <w:widowControl/>
              <w:jc w:val="center"/>
              <w:rPr>
                <w:rFonts w:ascii="宋体" w:hAnsi="宋体" w:cs="宋体"/>
                <w:color w:val="000000"/>
                <w:kern w:val="0"/>
                <w:sz w:val="22"/>
                <w:szCs w:val="22"/>
              </w:rPr>
            </w:pPr>
            <w:r>
              <w:rPr>
                <w:rFonts w:hint="eastAsia" w:ascii="宋体" w:hAnsi="宋体" w:cs="宋体"/>
                <w:color w:val="000000"/>
                <w:kern w:val="0"/>
                <w:sz w:val="22"/>
                <w:szCs w:val="22"/>
              </w:rPr>
              <w:t>第二标</w:t>
            </w:r>
          </w:p>
        </w:tc>
      </w:tr>
      <w:tr w14:paraId="2AB1DC4A">
        <w:tblPrEx>
          <w:tblCellMar>
            <w:top w:w="0" w:type="dxa"/>
            <w:left w:w="108" w:type="dxa"/>
            <w:bottom w:w="0" w:type="dxa"/>
            <w:right w:w="108" w:type="dxa"/>
          </w:tblCellMar>
        </w:tblPrEx>
        <w:trPr>
          <w:trHeight w:val="630" w:hRule="atLeast"/>
          <w:jc w:val="center"/>
        </w:trPr>
        <w:tc>
          <w:tcPr>
            <w:tcW w:w="1829" w:type="dxa"/>
            <w:tcBorders>
              <w:top w:val="nil"/>
              <w:left w:val="single" w:color="auto" w:sz="4" w:space="0"/>
              <w:bottom w:val="single" w:color="auto" w:sz="4" w:space="0"/>
              <w:right w:val="single" w:color="auto" w:sz="4" w:space="0"/>
            </w:tcBorders>
            <w:shd w:val="clear" w:color="auto" w:fill="auto"/>
            <w:vAlign w:val="center"/>
          </w:tcPr>
          <w:p w14:paraId="16222859">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汀泗孵化厂(湖北咸宁区)</w:t>
            </w:r>
          </w:p>
        </w:tc>
        <w:tc>
          <w:tcPr>
            <w:tcW w:w="991" w:type="dxa"/>
            <w:tcBorders>
              <w:top w:val="nil"/>
              <w:left w:val="nil"/>
              <w:bottom w:val="single" w:color="auto" w:sz="4" w:space="0"/>
              <w:right w:val="single" w:color="auto" w:sz="4" w:space="0"/>
            </w:tcBorders>
            <w:shd w:val="clear" w:color="auto" w:fill="auto"/>
            <w:noWrap/>
            <w:vAlign w:val="bottom"/>
          </w:tcPr>
          <w:p w14:paraId="55F4A2FF">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20000</w:t>
            </w:r>
          </w:p>
        </w:tc>
        <w:tc>
          <w:tcPr>
            <w:tcW w:w="1180" w:type="dxa"/>
            <w:tcBorders>
              <w:top w:val="nil"/>
              <w:left w:val="nil"/>
              <w:bottom w:val="single" w:color="auto" w:sz="4" w:space="0"/>
              <w:right w:val="single" w:color="auto" w:sz="4" w:space="0"/>
            </w:tcBorders>
            <w:shd w:val="clear" w:color="auto" w:fill="auto"/>
            <w:noWrap/>
            <w:vAlign w:val="bottom"/>
          </w:tcPr>
          <w:p w14:paraId="364E9C52">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18000</w:t>
            </w:r>
          </w:p>
        </w:tc>
        <w:tc>
          <w:tcPr>
            <w:tcW w:w="1180" w:type="dxa"/>
            <w:tcBorders>
              <w:top w:val="nil"/>
              <w:left w:val="nil"/>
              <w:bottom w:val="single" w:color="auto" w:sz="4" w:space="0"/>
              <w:right w:val="single" w:color="auto" w:sz="4" w:space="0"/>
            </w:tcBorders>
            <w:shd w:val="clear" w:color="auto" w:fill="auto"/>
            <w:noWrap/>
            <w:vAlign w:val="bottom"/>
          </w:tcPr>
          <w:p w14:paraId="1D5E8C17">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0</w:t>
            </w:r>
          </w:p>
        </w:tc>
        <w:tc>
          <w:tcPr>
            <w:tcW w:w="2640" w:type="dxa"/>
            <w:tcBorders>
              <w:top w:val="nil"/>
              <w:left w:val="nil"/>
              <w:bottom w:val="single" w:color="auto" w:sz="4" w:space="0"/>
              <w:right w:val="single" w:color="auto" w:sz="4" w:space="0"/>
            </w:tcBorders>
            <w:shd w:val="clear" w:color="auto" w:fill="auto"/>
            <w:vAlign w:val="center"/>
          </w:tcPr>
          <w:p w14:paraId="7B35EE09">
            <w:pPr>
              <w:widowControl/>
              <w:jc w:val="left"/>
              <w:rPr>
                <w:rFonts w:ascii="宋体" w:hAnsi="宋体" w:cs="宋体"/>
                <w:color w:val="000000"/>
                <w:kern w:val="0"/>
                <w:sz w:val="22"/>
                <w:szCs w:val="22"/>
              </w:rPr>
            </w:pPr>
            <w:r>
              <w:rPr>
                <w:rFonts w:hint="eastAsia" w:ascii="宋体" w:hAnsi="宋体" w:cs="宋体"/>
                <w:color w:val="000000"/>
                <w:kern w:val="0"/>
                <w:sz w:val="22"/>
                <w:szCs w:val="22"/>
              </w:rPr>
              <w:t>湖北省咸宁市咸安区汀泗桥镇彭碑村（温氏鸡场）</w:t>
            </w:r>
          </w:p>
        </w:tc>
        <w:tc>
          <w:tcPr>
            <w:tcW w:w="1500" w:type="dxa"/>
            <w:tcBorders>
              <w:top w:val="nil"/>
              <w:left w:val="nil"/>
              <w:bottom w:val="single" w:color="auto" w:sz="4" w:space="0"/>
              <w:right w:val="single" w:color="auto" w:sz="4" w:space="0"/>
            </w:tcBorders>
            <w:shd w:val="clear" w:color="auto" w:fill="auto"/>
            <w:noWrap/>
            <w:vAlign w:val="center"/>
          </w:tcPr>
          <w:p w14:paraId="24D01830">
            <w:pPr>
              <w:widowControl/>
              <w:jc w:val="center"/>
              <w:rPr>
                <w:rFonts w:ascii="宋体" w:hAnsi="宋体" w:cs="宋体"/>
                <w:color w:val="000000"/>
                <w:kern w:val="0"/>
                <w:sz w:val="22"/>
                <w:szCs w:val="22"/>
              </w:rPr>
            </w:pPr>
            <w:r>
              <w:rPr>
                <w:rFonts w:hint="eastAsia" w:ascii="宋体" w:hAnsi="宋体" w:cs="宋体"/>
                <w:color w:val="000000"/>
                <w:kern w:val="0"/>
                <w:sz w:val="22"/>
                <w:szCs w:val="22"/>
              </w:rPr>
              <w:t>第三标</w:t>
            </w:r>
          </w:p>
        </w:tc>
      </w:tr>
      <w:tr w14:paraId="15B54F49">
        <w:tblPrEx>
          <w:tblCellMar>
            <w:top w:w="0" w:type="dxa"/>
            <w:left w:w="108" w:type="dxa"/>
            <w:bottom w:w="0" w:type="dxa"/>
            <w:right w:w="108" w:type="dxa"/>
          </w:tblCellMar>
        </w:tblPrEx>
        <w:trPr>
          <w:trHeight w:val="630" w:hRule="atLeast"/>
          <w:jc w:val="center"/>
        </w:trPr>
        <w:tc>
          <w:tcPr>
            <w:tcW w:w="1829" w:type="dxa"/>
            <w:tcBorders>
              <w:top w:val="nil"/>
              <w:left w:val="single" w:color="auto" w:sz="4" w:space="0"/>
              <w:bottom w:val="single" w:color="auto" w:sz="4" w:space="0"/>
              <w:right w:val="single" w:color="auto" w:sz="4" w:space="0"/>
            </w:tcBorders>
            <w:shd w:val="clear" w:color="auto" w:fill="auto"/>
            <w:noWrap/>
            <w:vAlign w:val="center"/>
          </w:tcPr>
          <w:p w14:paraId="51821EBE">
            <w:pPr>
              <w:widowControl/>
              <w:jc w:val="center"/>
              <w:rPr>
                <w:rFonts w:ascii="宋体" w:hAnsi="宋体" w:cs="宋体"/>
                <w:color w:val="000000"/>
                <w:kern w:val="0"/>
                <w:sz w:val="22"/>
                <w:szCs w:val="22"/>
              </w:rPr>
            </w:pPr>
            <w:r>
              <w:rPr>
                <w:rFonts w:hint="eastAsia" w:ascii="宋体" w:hAnsi="宋体" w:cs="宋体"/>
                <w:color w:val="000000"/>
                <w:kern w:val="0"/>
                <w:sz w:val="22"/>
                <w:szCs w:val="22"/>
              </w:rPr>
              <w:t>复盛孵化厂</w:t>
            </w:r>
          </w:p>
        </w:tc>
        <w:tc>
          <w:tcPr>
            <w:tcW w:w="991" w:type="dxa"/>
            <w:tcBorders>
              <w:top w:val="nil"/>
              <w:left w:val="nil"/>
              <w:bottom w:val="single" w:color="auto" w:sz="4" w:space="0"/>
              <w:right w:val="single" w:color="auto" w:sz="4" w:space="0"/>
            </w:tcBorders>
            <w:shd w:val="clear" w:color="auto" w:fill="auto"/>
            <w:noWrap/>
            <w:vAlign w:val="bottom"/>
          </w:tcPr>
          <w:p w14:paraId="73C7FB3D">
            <w:pPr>
              <w:keepNext w:val="0"/>
              <w:keepLines w:val="0"/>
              <w:widowControl/>
              <w:suppressLineNumbers w:val="0"/>
              <w:jc w:val="center"/>
              <w:textAlignment w:val="bottom"/>
              <w:rPr>
                <w:rFonts w:hint="default" w:ascii="Times New Roman" w:hAnsi="Times New Roman"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23000</w:t>
            </w:r>
          </w:p>
        </w:tc>
        <w:tc>
          <w:tcPr>
            <w:tcW w:w="1180" w:type="dxa"/>
            <w:tcBorders>
              <w:top w:val="nil"/>
              <w:left w:val="nil"/>
              <w:bottom w:val="single" w:color="auto" w:sz="4" w:space="0"/>
              <w:right w:val="single" w:color="auto" w:sz="4" w:space="0"/>
            </w:tcBorders>
            <w:shd w:val="clear" w:color="auto" w:fill="auto"/>
            <w:noWrap/>
            <w:vAlign w:val="bottom"/>
          </w:tcPr>
          <w:p w14:paraId="59F9A32D">
            <w:pPr>
              <w:keepNext w:val="0"/>
              <w:keepLines w:val="0"/>
              <w:widowControl/>
              <w:suppressLineNumbers w:val="0"/>
              <w:jc w:val="center"/>
              <w:textAlignment w:val="bottom"/>
              <w:rPr>
                <w:rFonts w:hint="default" w:ascii="Times New Roman" w:hAnsi="Times New Roman" w:eastAsia="宋体" w:cs="Times New Roman"/>
                <w:color w:val="000000"/>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22000</w:t>
            </w:r>
          </w:p>
        </w:tc>
        <w:tc>
          <w:tcPr>
            <w:tcW w:w="1180" w:type="dxa"/>
            <w:tcBorders>
              <w:top w:val="nil"/>
              <w:left w:val="nil"/>
              <w:bottom w:val="single" w:color="auto" w:sz="4" w:space="0"/>
              <w:right w:val="single" w:color="auto" w:sz="4" w:space="0"/>
            </w:tcBorders>
            <w:shd w:val="clear" w:color="auto" w:fill="auto"/>
            <w:noWrap/>
            <w:vAlign w:val="bottom"/>
          </w:tcPr>
          <w:p w14:paraId="3A0DBA47">
            <w:pPr>
              <w:keepNext w:val="0"/>
              <w:keepLines w:val="0"/>
              <w:widowControl/>
              <w:suppressLineNumbers w:val="0"/>
              <w:jc w:val="center"/>
              <w:textAlignment w:val="bottom"/>
              <w:rPr>
                <w:rFonts w:hint="default" w:ascii="Times New Roman" w:hAnsi="Times New Roman"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10000</w:t>
            </w:r>
          </w:p>
        </w:tc>
        <w:tc>
          <w:tcPr>
            <w:tcW w:w="2640" w:type="dxa"/>
            <w:tcBorders>
              <w:top w:val="nil"/>
              <w:left w:val="nil"/>
              <w:bottom w:val="single" w:color="auto" w:sz="4" w:space="0"/>
              <w:right w:val="single" w:color="auto" w:sz="4" w:space="0"/>
            </w:tcBorders>
            <w:shd w:val="clear" w:color="auto" w:fill="auto"/>
            <w:vAlign w:val="center"/>
          </w:tcPr>
          <w:p w14:paraId="6992797B">
            <w:pPr>
              <w:widowControl/>
              <w:jc w:val="left"/>
              <w:rPr>
                <w:rFonts w:ascii="宋体" w:hAnsi="宋体" w:cs="宋体"/>
                <w:color w:val="000000"/>
                <w:kern w:val="0"/>
                <w:sz w:val="22"/>
                <w:szCs w:val="22"/>
              </w:rPr>
            </w:pPr>
            <w:r>
              <w:rPr>
                <w:rFonts w:hint="eastAsia" w:ascii="宋体" w:hAnsi="宋体" w:cs="宋体"/>
                <w:color w:val="000000"/>
                <w:kern w:val="0"/>
                <w:sz w:val="22"/>
                <w:szCs w:val="22"/>
              </w:rPr>
              <w:t>四川省眉山市东坡区复盛乡中坊村</w:t>
            </w:r>
          </w:p>
        </w:tc>
        <w:tc>
          <w:tcPr>
            <w:tcW w:w="1500" w:type="dxa"/>
            <w:vMerge w:val="restart"/>
            <w:tcBorders>
              <w:top w:val="nil"/>
              <w:left w:val="single" w:color="auto" w:sz="4" w:space="0"/>
              <w:bottom w:val="single" w:color="000000" w:sz="4" w:space="0"/>
              <w:right w:val="single" w:color="auto" w:sz="4" w:space="0"/>
            </w:tcBorders>
            <w:shd w:val="clear" w:color="auto" w:fill="auto"/>
            <w:noWrap/>
            <w:vAlign w:val="center"/>
          </w:tcPr>
          <w:p w14:paraId="525D977A">
            <w:pPr>
              <w:widowControl/>
              <w:jc w:val="center"/>
              <w:rPr>
                <w:rFonts w:ascii="宋体" w:hAnsi="宋体" w:cs="宋体"/>
                <w:color w:val="000000"/>
                <w:kern w:val="0"/>
                <w:sz w:val="22"/>
                <w:szCs w:val="22"/>
              </w:rPr>
            </w:pPr>
            <w:r>
              <w:rPr>
                <w:rFonts w:hint="eastAsia" w:ascii="宋体" w:hAnsi="宋体" w:cs="宋体"/>
                <w:color w:val="000000"/>
                <w:kern w:val="0"/>
                <w:sz w:val="22"/>
                <w:szCs w:val="22"/>
              </w:rPr>
              <w:t>第四标</w:t>
            </w:r>
          </w:p>
        </w:tc>
      </w:tr>
      <w:tr w14:paraId="6BD1DE1E">
        <w:tblPrEx>
          <w:tblCellMar>
            <w:top w:w="0" w:type="dxa"/>
            <w:left w:w="108" w:type="dxa"/>
            <w:bottom w:w="0" w:type="dxa"/>
            <w:right w:w="108" w:type="dxa"/>
          </w:tblCellMar>
        </w:tblPrEx>
        <w:trPr>
          <w:trHeight w:val="630" w:hRule="atLeast"/>
          <w:jc w:val="center"/>
        </w:trPr>
        <w:tc>
          <w:tcPr>
            <w:tcW w:w="1829" w:type="dxa"/>
            <w:tcBorders>
              <w:top w:val="nil"/>
              <w:left w:val="single" w:color="auto" w:sz="4" w:space="0"/>
              <w:bottom w:val="single" w:color="auto" w:sz="4" w:space="0"/>
              <w:right w:val="single" w:color="auto" w:sz="4" w:space="0"/>
            </w:tcBorders>
            <w:shd w:val="clear" w:color="auto" w:fill="auto"/>
            <w:noWrap/>
            <w:vAlign w:val="center"/>
          </w:tcPr>
          <w:p w14:paraId="01ED0A2C">
            <w:pPr>
              <w:widowControl/>
              <w:jc w:val="center"/>
              <w:rPr>
                <w:rFonts w:ascii="宋体" w:hAnsi="宋体" w:cs="宋体"/>
                <w:color w:val="000000"/>
                <w:kern w:val="0"/>
                <w:sz w:val="22"/>
                <w:szCs w:val="22"/>
              </w:rPr>
            </w:pPr>
            <w:r>
              <w:rPr>
                <w:rFonts w:hint="eastAsia" w:ascii="宋体" w:hAnsi="宋体" w:cs="宋体"/>
                <w:color w:val="000000"/>
                <w:kern w:val="0"/>
                <w:sz w:val="22"/>
                <w:szCs w:val="22"/>
              </w:rPr>
              <w:t>双红孵化厂</w:t>
            </w:r>
          </w:p>
        </w:tc>
        <w:tc>
          <w:tcPr>
            <w:tcW w:w="991" w:type="dxa"/>
            <w:tcBorders>
              <w:top w:val="nil"/>
              <w:left w:val="nil"/>
              <w:bottom w:val="single" w:color="auto" w:sz="4" w:space="0"/>
              <w:right w:val="single" w:color="auto" w:sz="4" w:space="0"/>
            </w:tcBorders>
            <w:shd w:val="clear" w:color="auto" w:fill="auto"/>
            <w:noWrap/>
            <w:vAlign w:val="bottom"/>
          </w:tcPr>
          <w:p w14:paraId="11220530">
            <w:pPr>
              <w:keepNext w:val="0"/>
              <w:keepLines w:val="0"/>
              <w:widowControl/>
              <w:suppressLineNumbers w:val="0"/>
              <w:jc w:val="center"/>
              <w:textAlignment w:val="bottom"/>
              <w:rPr>
                <w:rFonts w:hint="default" w:ascii="Times New Roman" w:hAnsi="Times New Roman"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1500</w:t>
            </w:r>
          </w:p>
        </w:tc>
        <w:tc>
          <w:tcPr>
            <w:tcW w:w="1180" w:type="dxa"/>
            <w:tcBorders>
              <w:top w:val="nil"/>
              <w:left w:val="nil"/>
              <w:bottom w:val="single" w:color="auto" w:sz="4" w:space="0"/>
              <w:right w:val="single" w:color="auto" w:sz="4" w:space="0"/>
            </w:tcBorders>
            <w:shd w:val="clear" w:color="auto" w:fill="auto"/>
            <w:noWrap/>
            <w:vAlign w:val="bottom"/>
          </w:tcPr>
          <w:p w14:paraId="76875878">
            <w:pPr>
              <w:keepNext w:val="0"/>
              <w:keepLines w:val="0"/>
              <w:widowControl/>
              <w:suppressLineNumbers w:val="0"/>
              <w:jc w:val="center"/>
              <w:textAlignment w:val="bottom"/>
              <w:rPr>
                <w:rFonts w:hint="default" w:ascii="Times New Roman" w:hAnsi="Times New Roman" w:eastAsia="宋体" w:cs="Times New Roman"/>
                <w:color w:val="000000"/>
                <w:kern w:val="0"/>
                <w:sz w:val="22"/>
                <w:szCs w:val="22"/>
                <w:lang w:val="en-US" w:eastAsia="zh-CN"/>
              </w:rPr>
            </w:pPr>
            <w:r>
              <w:rPr>
                <w:rFonts w:hint="eastAsia" w:ascii="宋体" w:hAnsi="宋体" w:eastAsia="宋体" w:cs="宋体"/>
                <w:i w:val="0"/>
                <w:iCs w:val="0"/>
                <w:color w:val="000000"/>
                <w:kern w:val="0"/>
                <w:sz w:val="22"/>
                <w:szCs w:val="22"/>
                <w:u w:val="none"/>
                <w:lang w:val="en-US" w:eastAsia="zh-CN" w:bidi="ar"/>
              </w:rPr>
              <w:t>1500</w:t>
            </w:r>
          </w:p>
        </w:tc>
        <w:tc>
          <w:tcPr>
            <w:tcW w:w="1180" w:type="dxa"/>
            <w:tcBorders>
              <w:top w:val="nil"/>
              <w:left w:val="nil"/>
              <w:bottom w:val="single" w:color="auto" w:sz="4" w:space="0"/>
              <w:right w:val="single" w:color="auto" w:sz="4" w:space="0"/>
            </w:tcBorders>
            <w:shd w:val="clear" w:color="auto" w:fill="auto"/>
            <w:noWrap/>
            <w:vAlign w:val="bottom"/>
          </w:tcPr>
          <w:p w14:paraId="66AA317F">
            <w:pPr>
              <w:keepNext w:val="0"/>
              <w:keepLines w:val="0"/>
              <w:widowControl/>
              <w:suppressLineNumbers w:val="0"/>
              <w:jc w:val="center"/>
              <w:textAlignment w:val="bottom"/>
              <w:rPr>
                <w:rFonts w:hint="default" w:ascii="Times New Roman" w:hAnsi="Times New Roman" w:eastAsia="宋体" w:cs="Times New Roman"/>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2500</w:t>
            </w:r>
          </w:p>
        </w:tc>
        <w:tc>
          <w:tcPr>
            <w:tcW w:w="2640" w:type="dxa"/>
            <w:tcBorders>
              <w:top w:val="nil"/>
              <w:left w:val="nil"/>
              <w:bottom w:val="single" w:color="auto" w:sz="4" w:space="0"/>
              <w:right w:val="single" w:color="auto" w:sz="4" w:space="0"/>
            </w:tcBorders>
            <w:shd w:val="clear" w:color="auto" w:fill="auto"/>
            <w:vAlign w:val="center"/>
          </w:tcPr>
          <w:p w14:paraId="5B1CB143">
            <w:pPr>
              <w:widowControl/>
              <w:jc w:val="left"/>
              <w:rPr>
                <w:rFonts w:ascii="宋体" w:hAnsi="宋体" w:cs="宋体"/>
                <w:color w:val="000000"/>
                <w:kern w:val="0"/>
                <w:sz w:val="22"/>
                <w:szCs w:val="22"/>
              </w:rPr>
            </w:pPr>
            <w:r>
              <w:rPr>
                <w:rFonts w:hint="eastAsia" w:ascii="宋体" w:hAnsi="宋体" w:cs="宋体"/>
                <w:color w:val="000000"/>
                <w:kern w:val="0"/>
                <w:sz w:val="22"/>
                <w:szCs w:val="22"/>
              </w:rPr>
              <w:t>四川省眉山市东坡区富牛镇红光村</w:t>
            </w:r>
          </w:p>
        </w:tc>
        <w:tc>
          <w:tcPr>
            <w:tcW w:w="1500" w:type="dxa"/>
            <w:vMerge w:val="continue"/>
            <w:tcBorders>
              <w:top w:val="nil"/>
              <w:left w:val="single" w:color="auto" w:sz="4" w:space="0"/>
              <w:bottom w:val="single" w:color="000000" w:sz="4" w:space="0"/>
              <w:right w:val="single" w:color="auto" w:sz="4" w:space="0"/>
            </w:tcBorders>
            <w:vAlign w:val="center"/>
          </w:tcPr>
          <w:p w14:paraId="2113F41E">
            <w:pPr>
              <w:widowControl/>
              <w:jc w:val="left"/>
              <w:rPr>
                <w:rFonts w:ascii="宋体" w:hAnsi="宋体" w:cs="宋体"/>
                <w:color w:val="000000"/>
                <w:kern w:val="0"/>
                <w:sz w:val="22"/>
                <w:szCs w:val="22"/>
              </w:rPr>
            </w:pPr>
          </w:p>
        </w:tc>
      </w:tr>
      <w:tr w14:paraId="34A487D1">
        <w:tblPrEx>
          <w:tblCellMar>
            <w:top w:w="0" w:type="dxa"/>
            <w:left w:w="108" w:type="dxa"/>
            <w:bottom w:w="0" w:type="dxa"/>
            <w:right w:w="108" w:type="dxa"/>
          </w:tblCellMar>
        </w:tblPrEx>
        <w:trPr>
          <w:trHeight w:val="570" w:hRule="atLeast"/>
          <w:jc w:val="center"/>
        </w:trPr>
        <w:tc>
          <w:tcPr>
            <w:tcW w:w="1829" w:type="dxa"/>
            <w:tcBorders>
              <w:top w:val="nil"/>
              <w:left w:val="single" w:color="auto" w:sz="4" w:space="0"/>
              <w:bottom w:val="single" w:color="auto" w:sz="4" w:space="0"/>
              <w:right w:val="single" w:color="auto" w:sz="4" w:space="0"/>
            </w:tcBorders>
            <w:shd w:val="clear" w:color="auto" w:fill="auto"/>
            <w:vAlign w:val="center"/>
          </w:tcPr>
          <w:p w14:paraId="1A8355AB">
            <w:pPr>
              <w:keepNext w:val="0"/>
              <w:keepLines w:val="0"/>
              <w:widowControl/>
              <w:suppressLineNumbers w:val="0"/>
              <w:jc w:val="center"/>
              <w:textAlignment w:val="center"/>
              <w:rPr>
                <w:rFonts w:hint="eastAsia" w:ascii="宋体" w:hAnsi="宋体" w:cs="宋体"/>
                <w:b/>
                <w:bCs/>
                <w:color w:val="000000"/>
                <w:kern w:val="0"/>
                <w:sz w:val="22"/>
                <w:szCs w:val="22"/>
              </w:rPr>
            </w:pPr>
            <w:r>
              <w:rPr>
                <w:rFonts w:hint="eastAsia" w:ascii="宋体" w:hAnsi="宋体" w:eastAsia="宋体" w:cs="宋体"/>
                <w:i w:val="0"/>
                <w:iCs w:val="0"/>
                <w:color w:val="000000"/>
                <w:kern w:val="0"/>
                <w:sz w:val="22"/>
                <w:szCs w:val="22"/>
                <w:u w:val="none"/>
                <w:lang w:val="en-US" w:eastAsia="zh-CN" w:bidi="ar"/>
              </w:rPr>
              <w:t>复兴孵化厂</w:t>
            </w:r>
          </w:p>
        </w:tc>
        <w:tc>
          <w:tcPr>
            <w:tcW w:w="991" w:type="dxa"/>
            <w:tcBorders>
              <w:top w:val="nil"/>
              <w:left w:val="nil"/>
              <w:bottom w:val="single" w:color="auto" w:sz="4" w:space="0"/>
              <w:right w:val="single" w:color="auto" w:sz="4" w:space="0"/>
            </w:tcBorders>
            <w:shd w:val="clear" w:color="auto" w:fill="auto"/>
            <w:noWrap/>
            <w:vAlign w:val="bottom"/>
          </w:tcPr>
          <w:p w14:paraId="411F4805">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5000</w:t>
            </w:r>
          </w:p>
        </w:tc>
        <w:tc>
          <w:tcPr>
            <w:tcW w:w="1180" w:type="dxa"/>
            <w:tcBorders>
              <w:top w:val="nil"/>
              <w:left w:val="nil"/>
              <w:bottom w:val="single" w:color="auto" w:sz="4" w:space="0"/>
              <w:right w:val="single" w:color="auto" w:sz="4" w:space="0"/>
            </w:tcBorders>
            <w:shd w:val="clear" w:color="auto" w:fill="auto"/>
            <w:noWrap/>
            <w:vAlign w:val="bottom"/>
          </w:tcPr>
          <w:p w14:paraId="3B8F92A1">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i w:val="0"/>
                <w:iCs w:val="0"/>
                <w:color w:val="000000"/>
                <w:kern w:val="0"/>
                <w:sz w:val="22"/>
                <w:szCs w:val="22"/>
                <w:u w:val="none"/>
                <w:lang w:val="en-US" w:eastAsia="zh-CN" w:bidi="ar"/>
              </w:rPr>
              <w:t>5000</w:t>
            </w:r>
          </w:p>
        </w:tc>
        <w:tc>
          <w:tcPr>
            <w:tcW w:w="1180" w:type="dxa"/>
            <w:tcBorders>
              <w:top w:val="nil"/>
              <w:left w:val="nil"/>
              <w:bottom w:val="single" w:color="auto" w:sz="4" w:space="0"/>
              <w:right w:val="single" w:color="auto" w:sz="4" w:space="0"/>
            </w:tcBorders>
            <w:shd w:val="clear" w:color="auto" w:fill="auto"/>
            <w:noWrap/>
            <w:vAlign w:val="bottom"/>
          </w:tcPr>
          <w:p w14:paraId="15E45B18">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8000</w:t>
            </w:r>
          </w:p>
        </w:tc>
        <w:tc>
          <w:tcPr>
            <w:tcW w:w="2640" w:type="dxa"/>
            <w:tcBorders>
              <w:top w:val="nil"/>
              <w:left w:val="nil"/>
              <w:bottom w:val="single" w:color="auto" w:sz="4" w:space="0"/>
              <w:right w:val="single" w:color="auto" w:sz="4" w:space="0"/>
            </w:tcBorders>
            <w:shd w:val="clear" w:color="auto" w:fill="auto"/>
            <w:vAlign w:val="center"/>
          </w:tcPr>
          <w:p w14:paraId="6EB4A310">
            <w:pPr>
              <w:widowControl/>
              <w:jc w:val="left"/>
              <w:rPr>
                <w:rFonts w:hint="eastAsia" w:ascii="宋体" w:hAnsi="宋体" w:cs="宋体"/>
                <w:color w:val="000000"/>
                <w:kern w:val="0"/>
                <w:sz w:val="22"/>
                <w:szCs w:val="22"/>
              </w:rPr>
            </w:pPr>
            <w:r>
              <w:rPr>
                <w:rFonts w:hint="default" w:ascii="宋体" w:hAnsi="宋体" w:cs="宋体"/>
                <w:color w:val="000000"/>
                <w:kern w:val="0"/>
                <w:sz w:val="22"/>
                <w:szCs w:val="22"/>
                <w:lang w:val="en-US" w:eastAsia="zh-CN"/>
              </w:rPr>
              <w:t>四川省眉山市东坡区复兴镇柳圣社区</w:t>
            </w:r>
          </w:p>
        </w:tc>
        <w:tc>
          <w:tcPr>
            <w:tcW w:w="1500" w:type="dxa"/>
            <w:vMerge w:val="continue"/>
            <w:tcBorders>
              <w:top w:val="nil"/>
              <w:left w:val="single" w:color="auto" w:sz="4" w:space="0"/>
              <w:bottom w:val="single" w:color="000000" w:sz="4" w:space="0"/>
              <w:right w:val="single" w:color="auto" w:sz="4" w:space="0"/>
            </w:tcBorders>
            <w:vAlign w:val="center"/>
          </w:tcPr>
          <w:p w14:paraId="6C18BFFC">
            <w:pPr>
              <w:widowControl/>
              <w:jc w:val="left"/>
              <w:rPr>
                <w:rFonts w:ascii="宋体" w:hAnsi="宋体" w:cs="宋体"/>
                <w:color w:val="000000"/>
                <w:kern w:val="0"/>
                <w:sz w:val="22"/>
                <w:szCs w:val="22"/>
              </w:rPr>
            </w:pPr>
          </w:p>
        </w:tc>
      </w:tr>
      <w:tr w14:paraId="6DEB21FC">
        <w:tblPrEx>
          <w:tblCellMar>
            <w:top w:w="0" w:type="dxa"/>
            <w:left w:w="108" w:type="dxa"/>
            <w:bottom w:w="0" w:type="dxa"/>
            <w:right w:w="108" w:type="dxa"/>
          </w:tblCellMar>
        </w:tblPrEx>
        <w:trPr>
          <w:trHeight w:val="570" w:hRule="atLeast"/>
          <w:jc w:val="center"/>
        </w:trPr>
        <w:tc>
          <w:tcPr>
            <w:tcW w:w="1829" w:type="dxa"/>
            <w:tcBorders>
              <w:top w:val="nil"/>
              <w:left w:val="single" w:color="auto" w:sz="4" w:space="0"/>
              <w:bottom w:val="single" w:color="auto" w:sz="4" w:space="0"/>
              <w:right w:val="single" w:color="auto" w:sz="4" w:space="0"/>
            </w:tcBorders>
            <w:shd w:val="clear" w:color="auto" w:fill="auto"/>
            <w:vAlign w:val="center"/>
          </w:tcPr>
          <w:p w14:paraId="14C601BD">
            <w:pPr>
              <w:keepNext w:val="0"/>
              <w:keepLines w:val="0"/>
              <w:widowControl/>
              <w:suppressLineNumbers w:val="0"/>
              <w:jc w:val="center"/>
              <w:textAlignment w:val="center"/>
              <w:rPr>
                <w:rFonts w:ascii="宋体" w:hAnsi="宋体" w:cs="宋体"/>
                <w:b/>
                <w:bCs/>
                <w:color w:val="000000"/>
                <w:kern w:val="0"/>
                <w:sz w:val="22"/>
                <w:szCs w:val="22"/>
              </w:rPr>
            </w:pPr>
            <w:r>
              <w:rPr>
                <w:rFonts w:hint="eastAsia" w:ascii="宋体" w:hAnsi="宋体" w:eastAsia="宋体" w:cs="宋体"/>
                <w:b/>
                <w:bCs/>
                <w:i w:val="0"/>
                <w:iCs w:val="0"/>
                <w:color w:val="000000"/>
                <w:kern w:val="0"/>
                <w:sz w:val="22"/>
                <w:szCs w:val="22"/>
                <w:u w:val="none"/>
                <w:lang w:val="en-US" w:eastAsia="zh-CN" w:bidi="ar"/>
              </w:rPr>
              <w:t>四川眉山区小计</w:t>
            </w:r>
          </w:p>
        </w:tc>
        <w:tc>
          <w:tcPr>
            <w:tcW w:w="991" w:type="dxa"/>
            <w:tcBorders>
              <w:top w:val="nil"/>
              <w:left w:val="nil"/>
              <w:bottom w:val="single" w:color="auto" w:sz="4" w:space="0"/>
              <w:right w:val="single" w:color="auto" w:sz="4" w:space="0"/>
            </w:tcBorders>
            <w:shd w:val="clear" w:color="auto" w:fill="auto"/>
            <w:noWrap/>
            <w:vAlign w:val="bottom"/>
          </w:tcPr>
          <w:p w14:paraId="7D75BE34">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29500</w:t>
            </w:r>
          </w:p>
        </w:tc>
        <w:tc>
          <w:tcPr>
            <w:tcW w:w="1180" w:type="dxa"/>
            <w:tcBorders>
              <w:top w:val="nil"/>
              <w:left w:val="nil"/>
              <w:bottom w:val="single" w:color="auto" w:sz="4" w:space="0"/>
              <w:right w:val="single" w:color="auto" w:sz="4" w:space="0"/>
            </w:tcBorders>
            <w:shd w:val="clear" w:color="auto" w:fill="auto"/>
            <w:noWrap/>
            <w:vAlign w:val="bottom"/>
          </w:tcPr>
          <w:p w14:paraId="4FAA0979">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28500</w:t>
            </w:r>
          </w:p>
        </w:tc>
        <w:tc>
          <w:tcPr>
            <w:tcW w:w="1180" w:type="dxa"/>
            <w:tcBorders>
              <w:top w:val="nil"/>
              <w:left w:val="nil"/>
              <w:bottom w:val="single" w:color="auto" w:sz="4" w:space="0"/>
              <w:right w:val="single" w:color="auto" w:sz="4" w:space="0"/>
            </w:tcBorders>
            <w:shd w:val="clear" w:color="auto" w:fill="auto"/>
            <w:noWrap/>
            <w:vAlign w:val="bottom"/>
          </w:tcPr>
          <w:p w14:paraId="1FFCFC82">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20500</w:t>
            </w:r>
          </w:p>
        </w:tc>
        <w:tc>
          <w:tcPr>
            <w:tcW w:w="2640" w:type="dxa"/>
            <w:tcBorders>
              <w:top w:val="nil"/>
              <w:left w:val="nil"/>
              <w:bottom w:val="single" w:color="auto" w:sz="4" w:space="0"/>
              <w:right w:val="single" w:color="auto" w:sz="4" w:space="0"/>
            </w:tcBorders>
            <w:shd w:val="clear" w:color="auto" w:fill="auto"/>
            <w:vAlign w:val="center"/>
          </w:tcPr>
          <w:p w14:paraId="3B31D1FA">
            <w:pPr>
              <w:keepNext w:val="0"/>
              <w:keepLines w:val="0"/>
              <w:widowControl/>
              <w:suppressLineNumbers w:val="0"/>
              <w:jc w:val="center"/>
              <w:textAlignment w:val="center"/>
              <w:rPr>
                <w:rFonts w:ascii="宋体" w:hAnsi="宋体" w:cs="宋体"/>
                <w:color w:val="000000"/>
                <w:kern w:val="0"/>
                <w:sz w:val="22"/>
                <w:szCs w:val="22"/>
              </w:rPr>
            </w:pPr>
          </w:p>
        </w:tc>
        <w:tc>
          <w:tcPr>
            <w:tcW w:w="1500" w:type="dxa"/>
            <w:vMerge w:val="continue"/>
            <w:tcBorders>
              <w:top w:val="nil"/>
              <w:left w:val="single" w:color="auto" w:sz="4" w:space="0"/>
              <w:bottom w:val="single" w:color="000000" w:sz="4" w:space="0"/>
              <w:right w:val="single" w:color="auto" w:sz="4" w:space="0"/>
            </w:tcBorders>
            <w:vAlign w:val="center"/>
          </w:tcPr>
          <w:p w14:paraId="35A9BCDA">
            <w:pPr>
              <w:widowControl/>
              <w:jc w:val="left"/>
              <w:rPr>
                <w:rFonts w:ascii="宋体" w:hAnsi="宋体" w:cs="宋体"/>
                <w:color w:val="000000"/>
                <w:kern w:val="0"/>
                <w:sz w:val="22"/>
                <w:szCs w:val="22"/>
              </w:rPr>
            </w:pPr>
          </w:p>
        </w:tc>
      </w:tr>
      <w:tr w14:paraId="6739C88E">
        <w:tblPrEx>
          <w:tblCellMar>
            <w:top w:w="0" w:type="dxa"/>
            <w:left w:w="108" w:type="dxa"/>
            <w:bottom w:w="0" w:type="dxa"/>
            <w:right w:w="108" w:type="dxa"/>
          </w:tblCellMar>
        </w:tblPrEx>
        <w:trPr>
          <w:trHeight w:val="435" w:hRule="atLeast"/>
          <w:jc w:val="center"/>
        </w:trPr>
        <w:tc>
          <w:tcPr>
            <w:tcW w:w="1829" w:type="dxa"/>
            <w:tcBorders>
              <w:top w:val="nil"/>
              <w:left w:val="single" w:color="auto" w:sz="4" w:space="0"/>
              <w:bottom w:val="single" w:color="auto" w:sz="4" w:space="0"/>
              <w:right w:val="single" w:color="auto" w:sz="4" w:space="0"/>
            </w:tcBorders>
            <w:shd w:val="clear" w:color="auto" w:fill="auto"/>
            <w:noWrap/>
            <w:vAlign w:val="center"/>
          </w:tcPr>
          <w:p w14:paraId="31C97301">
            <w:pPr>
              <w:keepNext w:val="0"/>
              <w:keepLines w:val="0"/>
              <w:widowControl/>
              <w:suppressLineNumbers w:val="0"/>
              <w:jc w:val="center"/>
              <w:textAlignment w:val="center"/>
              <w:rPr>
                <w:rFonts w:hint="eastAsia" w:ascii="宋体" w:hAnsi="宋体" w:cs="宋体"/>
                <w:b/>
                <w:bCs/>
                <w:color w:val="000000"/>
                <w:kern w:val="0"/>
                <w:sz w:val="22"/>
                <w:szCs w:val="22"/>
              </w:rPr>
            </w:pPr>
            <w:r>
              <w:rPr>
                <w:rFonts w:hint="eastAsia" w:ascii="宋体" w:hAnsi="宋体" w:eastAsia="宋体" w:cs="宋体"/>
                <w:b/>
                <w:bCs/>
                <w:i w:val="0"/>
                <w:iCs w:val="0"/>
                <w:color w:val="000000"/>
                <w:kern w:val="0"/>
                <w:sz w:val="22"/>
                <w:szCs w:val="22"/>
                <w:u w:val="none"/>
                <w:lang w:val="en-US" w:eastAsia="zh-CN" w:bidi="ar"/>
              </w:rPr>
              <w:t>江州孵化厂（广西崇左区）</w:t>
            </w:r>
          </w:p>
        </w:tc>
        <w:tc>
          <w:tcPr>
            <w:tcW w:w="991" w:type="dxa"/>
            <w:tcBorders>
              <w:top w:val="nil"/>
              <w:left w:val="nil"/>
              <w:bottom w:val="single" w:color="auto" w:sz="4" w:space="0"/>
              <w:right w:val="single" w:color="auto" w:sz="4" w:space="0"/>
            </w:tcBorders>
            <w:shd w:val="clear" w:color="auto" w:fill="auto"/>
            <w:noWrap/>
            <w:vAlign w:val="bottom"/>
          </w:tcPr>
          <w:p w14:paraId="1924237C">
            <w:pPr>
              <w:jc w:val="center"/>
              <w:rPr>
                <w:rFonts w:hint="default" w:ascii="Times New Roman" w:hAnsi="Times New Roman" w:eastAsia="宋体" w:cs="Times New Roman"/>
                <w:b/>
                <w:bCs/>
                <w:color w:val="000000"/>
                <w:sz w:val="22"/>
                <w:szCs w:val="22"/>
                <w:lang w:val="en-US" w:eastAsia="zh-CN"/>
              </w:rPr>
            </w:pPr>
          </w:p>
        </w:tc>
        <w:tc>
          <w:tcPr>
            <w:tcW w:w="1180" w:type="dxa"/>
            <w:tcBorders>
              <w:top w:val="nil"/>
              <w:left w:val="nil"/>
              <w:bottom w:val="single" w:color="auto" w:sz="4" w:space="0"/>
              <w:right w:val="single" w:color="auto" w:sz="4" w:space="0"/>
            </w:tcBorders>
            <w:shd w:val="clear" w:color="auto" w:fill="auto"/>
            <w:noWrap/>
            <w:vAlign w:val="bottom"/>
          </w:tcPr>
          <w:p w14:paraId="5CAF676D">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18000</w:t>
            </w:r>
          </w:p>
        </w:tc>
        <w:tc>
          <w:tcPr>
            <w:tcW w:w="1180" w:type="dxa"/>
            <w:tcBorders>
              <w:top w:val="nil"/>
              <w:left w:val="nil"/>
              <w:bottom w:val="single" w:color="auto" w:sz="4" w:space="0"/>
              <w:right w:val="single" w:color="auto" w:sz="4" w:space="0"/>
            </w:tcBorders>
            <w:shd w:val="clear" w:color="auto" w:fill="auto"/>
            <w:noWrap/>
            <w:vAlign w:val="bottom"/>
          </w:tcPr>
          <w:p w14:paraId="1BC17471">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18000</w:t>
            </w:r>
          </w:p>
        </w:tc>
        <w:tc>
          <w:tcPr>
            <w:tcW w:w="2640" w:type="dxa"/>
            <w:tcBorders>
              <w:top w:val="nil"/>
              <w:left w:val="nil"/>
              <w:bottom w:val="single" w:color="auto" w:sz="4" w:space="0"/>
              <w:right w:val="single" w:color="auto" w:sz="4" w:space="0"/>
            </w:tcBorders>
            <w:shd w:val="clear" w:color="auto" w:fill="auto"/>
            <w:noWrap/>
            <w:vAlign w:val="center"/>
          </w:tcPr>
          <w:p w14:paraId="15A048E0">
            <w:pPr>
              <w:keepNext w:val="0"/>
              <w:keepLines w:val="0"/>
              <w:widowControl/>
              <w:suppressLineNumbers w:val="0"/>
              <w:jc w:val="center"/>
              <w:textAlignment w:val="center"/>
              <w:rPr>
                <w:rFonts w:hint="eastAsia" w:ascii="宋体" w:hAnsi="宋体" w:cs="宋体"/>
                <w:b/>
                <w:bCs/>
                <w:color w:val="000000"/>
                <w:kern w:val="0"/>
                <w:sz w:val="22"/>
                <w:szCs w:val="22"/>
              </w:rPr>
            </w:pPr>
            <w:r>
              <w:rPr>
                <w:rFonts w:hint="eastAsia" w:ascii="宋体" w:hAnsi="宋体" w:cs="宋体"/>
                <w:b w:val="0"/>
                <w:bCs w:val="0"/>
                <w:color w:val="000000"/>
                <w:kern w:val="0"/>
                <w:sz w:val="22"/>
                <w:szCs w:val="22"/>
              </w:rPr>
              <w:t>广西崇左市江州区罗白乡江州种鸭场</w:t>
            </w:r>
          </w:p>
        </w:tc>
        <w:tc>
          <w:tcPr>
            <w:tcW w:w="1500" w:type="dxa"/>
            <w:tcBorders>
              <w:top w:val="nil"/>
              <w:left w:val="nil"/>
              <w:bottom w:val="single" w:color="auto" w:sz="4" w:space="0"/>
              <w:right w:val="single" w:color="auto" w:sz="4" w:space="0"/>
            </w:tcBorders>
            <w:shd w:val="clear" w:color="auto" w:fill="auto"/>
            <w:noWrap/>
            <w:vAlign w:val="bottom"/>
          </w:tcPr>
          <w:p w14:paraId="0BE682C7">
            <w:pPr>
              <w:widowControl/>
              <w:jc w:val="center"/>
              <w:rPr>
                <w:rFonts w:hint="eastAsia" w:ascii="宋体" w:hAnsi="宋体" w:cs="宋体"/>
                <w:b/>
                <w:bCs/>
                <w:color w:val="000000"/>
                <w:kern w:val="0"/>
                <w:sz w:val="22"/>
                <w:szCs w:val="22"/>
              </w:rPr>
            </w:pPr>
            <w:r>
              <w:rPr>
                <w:rFonts w:hint="eastAsia" w:ascii="宋体" w:hAnsi="宋体" w:cs="宋体"/>
                <w:color w:val="000000"/>
                <w:kern w:val="0"/>
                <w:sz w:val="22"/>
                <w:szCs w:val="22"/>
              </w:rPr>
              <w:t>第</w:t>
            </w:r>
            <w:r>
              <w:rPr>
                <w:rFonts w:hint="eastAsia" w:ascii="宋体" w:hAnsi="宋体" w:cs="宋体"/>
                <w:color w:val="000000"/>
                <w:kern w:val="0"/>
                <w:sz w:val="22"/>
                <w:szCs w:val="22"/>
                <w:lang w:val="en-US" w:eastAsia="zh-CN"/>
              </w:rPr>
              <w:t>五</w:t>
            </w:r>
            <w:r>
              <w:rPr>
                <w:rFonts w:hint="eastAsia" w:ascii="宋体" w:hAnsi="宋体" w:cs="宋体"/>
                <w:color w:val="000000"/>
                <w:kern w:val="0"/>
                <w:sz w:val="22"/>
                <w:szCs w:val="22"/>
              </w:rPr>
              <w:t>标</w:t>
            </w:r>
          </w:p>
        </w:tc>
      </w:tr>
      <w:tr w14:paraId="6330BD8E">
        <w:tblPrEx>
          <w:tblCellMar>
            <w:top w:w="0" w:type="dxa"/>
            <w:left w:w="108" w:type="dxa"/>
            <w:bottom w:w="0" w:type="dxa"/>
            <w:right w:w="108" w:type="dxa"/>
          </w:tblCellMar>
        </w:tblPrEx>
        <w:trPr>
          <w:trHeight w:val="435" w:hRule="atLeast"/>
          <w:jc w:val="center"/>
        </w:trPr>
        <w:tc>
          <w:tcPr>
            <w:tcW w:w="1829" w:type="dxa"/>
            <w:tcBorders>
              <w:top w:val="nil"/>
              <w:left w:val="single" w:color="auto" w:sz="4" w:space="0"/>
              <w:bottom w:val="single" w:color="auto" w:sz="4" w:space="0"/>
              <w:right w:val="single" w:color="auto" w:sz="4" w:space="0"/>
            </w:tcBorders>
            <w:shd w:val="clear" w:color="auto" w:fill="auto"/>
            <w:noWrap/>
            <w:vAlign w:val="center"/>
          </w:tcPr>
          <w:p w14:paraId="40BAD964">
            <w:pPr>
              <w:keepNext w:val="0"/>
              <w:keepLines w:val="0"/>
              <w:widowControl/>
              <w:suppressLineNumbers w:val="0"/>
              <w:jc w:val="center"/>
              <w:textAlignment w:val="center"/>
              <w:rPr>
                <w:rFonts w:ascii="宋体" w:hAnsi="宋体" w:cs="宋体"/>
                <w:b/>
                <w:bCs/>
                <w:color w:val="000000"/>
                <w:kern w:val="0"/>
                <w:sz w:val="22"/>
                <w:szCs w:val="22"/>
              </w:rPr>
            </w:pPr>
            <w:r>
              <w:rPr>
                <w:rFonts w:hint="eastAsia" w:ascii="宋体" w:hAnsi="宋体" w:eastAsia="宋体" w:cs="宋体"/>
                <w:b/>
                <w:bCs/>
                <w:i w:val="0"/>
                <w:iCs w:val="0"/>
                <w:color w:val="000000"/>
                <w:kern w:val="0"/>
                <w:sz w:val="22"/>
                <w:szCs w:val="22"/>
                <w:u w:val="none"/>
                <w:lang w:val="en-US" w:eastAsia="zh-CN" w:bidi="ar"/>
              </w:rPr>
              <w:t>合计</w:t>
            </w:r>
          </w:p>
        </w:tc>
        <w:tc>
          <w:tcPr>
            <w:tcW w:w="991" w:type="dxa"/>
            <w:tcBorders>
              <w:top w:val="nil"/>
              <w:left w:val="nil"/>
              <w:bottom w:val="single" w:color="auto" w:sz="4" w:space="0"/>
              <w:right w:val="single" w:color="auto" w:sz="4" w:space="0"/>
            </w:tcBorders>
            <w:shd w:val="clear" w:color="auto" w:fill="auto"/>
            <w:noWrap/>
            <w:vAlign w:val="bottom"/>
          </w:tcPr>
          <w:p w14:paraId="624F8E2D">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87500</w:t>
            </w:r>
          </w:p>
        </w:tc>
        <w:tc>
          <w:tcPr>
            <w:tcW w:w="1180" w:type="dxa"/>
            <w:tcBorders>
              <w:top w:val="nil"/>
              <w:left w:val="nil"/>
              <w:bottom w:val="single" w:color="auto" w:sz="4" w:space="0"/>
              <w:right w:val="single" w:color="auto" w:sz="4" w:space="0"/>
            </w:tcBorders>
            <w:shd w:val="clear" w:color="auto" w:fill="auto"/>
            <w:noWrap/>
            <w:vAlign w:val="bottom"/>
          </w:tcPr>
          <w:p w14:paraId="1C45FFD1">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203500</w:t>
            </w:r>
          </w:p>
        </w:tc>
        <w:tc>
          <w:tcPr>
            <w:tcW w:w="1180" w:type="dxa"/>
            <w:tcBorders>
              <w:top w:val="nil"/>
              <w:left w:val="nil"/>
              <w:bottom w:val="single" w:color="auto" w:sz="4" w:space="0"/>
              <w:right w:val="single" w:color="auto" w:sz="4" w:space="0"/>
            </w:tcBorders>
            <w:shd w:val="clear" w:color="auto" w:fill="auto"/>
            <w:noWrap/>
            <w:vAlign w:val="bottom"/>
          </w:tcPr>
          <w:p w14:paraId="33C28408">
            <w:pPr>
              <w:keepNext w:val="0"/>
              <w:keepLines w:val="0"/>
              <w:widowControl/>
              <w:suppressLineNumbers w:val="0"/>
              <w:jc w:val="center"/>
              <w:textAlignment w:val="bottom"/>
              <w:rPr>
                <w:rFonts w:hint="default" w:ascii="Times New Roman" w:hAnsi="Times New Roman" w:eastAsia="宋体" w:cs="Times New Roman"/>
                <w:b/>
                <w:bCs/>
                <w:color w:val="000000"/>
                <w:sz w:val="22"/>
                <w:szCs w:val="22"/>
                <w:lang w:val="en-US" w:eastAsia="zh-CN"/>
              </w:rPr>
            </w:pPr>
            <w:r>
              <w:rPr>
                <w:rFonts w:hint="eastAsia" w:ascii="宋体" w:hAnsi="宋体" w:eastAsia="宋体" w:cs="宋体"/>
                <w:b/>
                <w:bCs/>
                <w:i w:val="0"/>
                <w:iCs w:val="0"/>
                <w:color w:val="000000"/>
                <w:kern w:val="0"/>
                <w:sz w:val="22"/>
                <w:szCs w:val="22"/>
                <w:u w:val="none"/>
                <w:lang w:val="en-US" w:eastAsia="zh-CN" w:bidi="ar"/>
              </w:rPr>
              <w:t>49300</w:t>
            </w:r>
          </w:p>
        </w:tc>
        <w:tc>
          <w:tcPr>
            <w:tcW w:w="2640" w:type="dxa"/>
            <w:tcBorders>
              <w:top w:val="nil"/>
              <w:left w:val="nil"/>
              <w:bottom w:val="single" w:color="auto" w:sz="4" w:space="0"/>
              <w:right w:val="single" w:color="auto" w:sz="4" w:space="0"/>
            </w:tcBorders>
            <w:shd w:val="clear" w:color="auto" w:fill="auto"/>
            <w:noWrap/>
            <w:vAlign w:val="center"/>
          </w:tcPr>
          <w:p w14:paraId="1797476F">
            <w:pPr>
              <w:keepNext w:val="0"/>
              <w:keepLines w:val="0"/>
              <w:widowControl/>
              <w:suppressLineNumbers w:val="0"/>
              <w:jc w:val="center"/>
              <w:textAlignment w:val="center"/>
              <w:rPr>
                <w:rFonts w:ascii="宋体" w:hAnsi="宋体" w:cs="宋体"/>
                <w:b/>
                <w:bCs/>
                <w:color w:val="000000"/>
                <w:kern w:val="0"/>
                <w:sz w:val="22"/>
                <w:szCs w:val="22"/>
              </w:rPr>
            </w:pPr>
          </w:p>
        </w:tc>
        <w:tc>
          <w:tcPr>
            <w:tcW w:w="1500" w:type="dxa"/>
            <w:tcBorders>
              <w:top w:val="nil"/>
              <w:left w:val="nil"/>
              <w:bottom w:val="single" w:color="auto" w:sz="4" w:space="0"/>
              <w:right w:val="single" w:color="auto" w:sz="4" w:space="0"/>
            </w:tcBorders>
            <w:shd w:val="clear" w:color="auto" w:fill="auto"/>
            <w:noWrap/>
            <w:vAlign w:val="bottom"/>
          </w:tcPr>
          <w:p w14:paraId="7825C50F">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　</w:t>
            </w:r>
          </w:p>
        </w:tc>
      </w:tr>
    </w:tbl>
    <w:p w14:paraId="2893775B">
      <w:pPr>
        <w:spacing w:line="500" w:lineRule="exact"/>
        <w:rPr>
          <w:rFonts w:ascii="宋体" w:hAnsi="宋体"/>
          <w:sz w:val="22"/>
        </w:rPr>
      </w:pPr>
      <w:r>
        <w:rPr>
          <w:rFonts w:hint="eastAsia" w:ascii="宋体" w:hAnsi="宋体"/>
          <w:sz w:val="22"/>
        </w:rPr>
        <w:t>备注：1、纸箱包括垫纸</w:t>
      </w:r>
      <w:r>
        <w:rPr>
          <w:rFonts w:hint="eastAsia" w:ascii="宋体" w:hAnsi="宋体"/>
          <w:sz w:val="22"/>
          <w:lang w:eastAsia="zh-CN"/>
        </w:rPr>
        <w:t>，</w:t>
      </w:r>
      <w:r>
        <w:rPr>
          <w:rFonts w:hint="eastAsia" w:ascii="宋体" w:hAnsi="宋体"/>
          <w:sz w:val="22"/>
          <w:lang w:val="en-US" w:eastAsia="zh-CN"/>
        </w:rPr>
        <w:t>即纸箱内的垫</w:t>
      </w:r>
      <w:r>
        <w:rPr>
          <w:rFonts w:hint="eastAsia" w:ascii="宋体" w:hAnsi="宋体"/>
          <w:color w:val="auto"/>
          <w:sz w:val="22"/>
          <w:lang w:val="en-US" w:eastAsia="zh-CN"/>
        </w:rPr>
        <w:t>纸，一般土纸或波纹纸，(第四标要求必须双层波纹瓦楞纸)</w:t>
      </w:r>
      <w:r>
        <w:rPr>
          <w:rFonts w:hint="eastAsia" w:ascii="宋体" w:hAnsi="宋体"/>
          <w:color w:val="auto"/>
          <w:sz w:val="22"/>
          <w:lang w:eastAsia="zh-CN"/>
        </w:rPr>
        <w:t>。</w:t>
      </w:r>
    </w:p>
    <w:p w14:paraId="4DFB1B1A">
      <w:pPr>
        <w:numPr>
          <w:ilvl w:val="0"/>
          <w:numId w:val="0"/>
        </w:numPr>
        <w:spacing w:line="500" w:lineRule="exact"/>
        <w:ind w:firstLine="660" w:firstLineChars="300"/>
        <w:rPr>
          <w:rFonts w:hint="eastAsia" w:ascii="宋体" w:hAnsi="宋体"/>
          <w:sz w:val="22"/>
        </w:rPr>
      </w:pPr>
      <w:r>
        <w:rPr>
          <w:rFonts w:hint="eastAsia" w:ascii="宋体" w:hAnsi="宋体"/>
          <w:sz w:val="22"/>
          <w:lang w:val="en-US" w:eastAsia="zh-CN"/>
        </w:rPr>
        <w:t>2、纸箱</w:t>
      </w:r>
      <w:r>
        <w:rPr>
          <w:rFonts w:hint="eastAsia" w:ascii="宋体" w:hAnsi="宋体"/>
          <w:sz w:val="22"/>
        </w:rPr>
        <w:t>不包括箱盖</w:t>
      </w:r>
      <w:r>
        <w:rPr>
          <w:rFonts w:hint="eastAsia" w:ascii="宋体" w:hAnsi="宋体"/>
          <w:sz w:val="22"/>
          <w:lang w:eastAsia="zh-CN"/>
        </w:rPr>
        <w:t>；</w:t>
      </w:r>
      <w:r>
        <w:rPr>
          <w:rFonts w:hint="eastAsia" w:ascii="宋体" w:hAnsi="宋体"/>
          <w:sz w:val="22"/>
          <w:lang w:val="en-US" w:eastAsia="zh-CN"/>
        </w:rPr>
        <w:t>箱盖单独计价，统一按0.5元/个</w:t>
      </w:r>
      <w:r>
        <w:rPr>
          <w:rFonts w:hint="eastAsia" w:ascii="宋体" w:hAnsi="宋体"/>
          <w:sz w:val="22"/>
        </w:rPr>
        <w:t>。</w:t>
      </w:r>
    </w:p>
    <w:p w14:paraId="6FA03A05">
      <w:pPr>
        <w:numPr>
          <w:ilvl w:val="0"/>
          <w:numId w:val="0"/>
        </w:numPr>
        <w:spacing w:line="500" w:lineRule="exact"/>
        <w:ind w:firstLine="660" w:firstLineChars="300"/>
        <w:rPr>
          <w:rFonts w:hint="eastAsia" w:ascii="宋体" w:hAnsi="宋体" w:eastAsia="宋体"/>
          <w:sz w:val="22"/>
          <w:lang w:val="en-US" w:eastAsia="zh-CN"/>
        </w:rPr>
      </w:pPr>
      <w:r>
        <w:rPr>
          <w:rFonts w:hint="eastAsia" w:ascii="宋体" w:hAnsi="宋体"/>
          <w:sz w:val="22"/>
          <w:lang w:val="en-US" w:eastAsia="zh-CN"/>
        </w:rPr>
        <w:t>3、</w:t>
      </w:r>
      <w:r>
        <w:rPr>
          <w:rFonts w:hint="eastAsia" w:ascii="宋体" w:hAnsi="宋体"/>
          <w:sz w:val="22"/>
        </w:rPr>
        <w:t>此表提供的需求数量仅供参考，实际送货量以各孵化厂通知的送货数量为准。</w:t>
      </w:r>
    </w:p>
    <w:p w14:paraId="6007F6F8">
      <w:pPr>
        <w:spacing w:line="500" w:lineRule="exact"/>
        <w:rPr>
          <w:rFonts w:ascii="宋体" w:hAnsi="宋体"/>
          <w:b/>
          <w:sz w:val="32"/>
        </w:rPr>
      </w:pPr>
      <w:r>
        <w:rPr>
          <w:rFonts w:hint="eastAsia" w:ascii="宋体" w:hAnsi="宋体"/>
          <w:sz w:val="22"/>
        </w:rPr>
        <w:t xml:space="preserve">      </w:t>
      </w:r>
      <w:r>
        <w:rPr>
          <w:rFonts w:hint="eastAsia" w:ascii="宋体" w:hAnsi="宋体"/>
          <w:b/>
          <w:sz w:val="32"/>
        </w:rPr>
        <w:t>三、纸箱规格及质量要求</w:t>
      </w:r>
    </w:p>
    <w:p w14:paraId="15B2FA64">
      <w:pPr>
        <w:numPr>
          <w:ilvl w:val="0"/>
          <w:numId w:val="2"/>
        </w:numPr>
        <w:spacing w:line="500" w:lineRule="exact"/>
        <w:ind w:firstLine="640" w:firstLineChars="200"/>
        <w:rPr>
          <w:rFonts w:ascii="宋体" w:hAnsi="宋体"/>
          <w:sz w:val="32"/>
        </w:rPr>
      </w:pPr>
      <w:r>
        <w:rPr>
          <w:rFonts w:hint="eastAsia" w:ascii="宋体" w:hAnsi="宋体"/>
          <w:sz w:val="32"/>
        </w:rPr>
        <w:t>纸箱规格重量：底规格648</w:t>
      </w:r>
      <w:r>
        <w:rPr>
          <w:rFonts w:hint="eastAsia" w:ascii="宋体" w:hAnsi="宋体"/>
          <w:sz w:val="32"/>
          <w:lang w:val="en-US" w:eastAsia="zh-CN"/>
        </w:rPr>
        <w:t>mm</w:t>
      </w:r>
      <w:r>
        <w:rPr>
          <w:rFonts w:hint="eastAsia" w:ascii="宋体" w:hAnsi="宋体"/>
          <w:sz w:val="32"/>
        </w:rPr>
        <w:t>×475mm，上平面规格600</w:t>
      </w:r>
      <w:r>
        <w:rPr>
          <w:rFonts w:hint="eastAsia" w:ascii="宋体" w:hAnsi="宋体"/>
          <w:sz w:val="32"/>
          <w:lang w:val="en-US" w:eastAsia="zh-CN"/>
        </w:rPr>
        <w:t>mm</w:t>
      </w:r>
      <w:r>
        <w:rPr>
          <w:rFonts w:hint="eastAsia" w:ascii="宋体" w:hAnsi="宋体"/>
          <w:sz w:val="32"/>
        </w:rPr>
        <w:t>×460mm，4边角高度165mm，内平面高度135mm，整体重量6</w:t>
      </w:r>
      <w:r>
        <w:rPr>
          <w:rFonts w:hint="eastAsia" w:ascii="宋体" w:hAnsi="宋体"/>
          <w:sz w:val="32"/>
          <w:lang w:val="en-US" w:eastAsia="zh-CN"/>
        </w:rPr>
        <w:t>0</w:t>
      </w:r>
      <w:r>
        <w:rPr>
          <w:rFonts w:hint="eastAsia" w:ascii="宋体" w:hAnsi="宋体"/>
          <w:sz w:val="32"/>
        </w:rPr>
        <w:t>0g（</w:t>
      </w:r>
      <w:r>
        <w:rPr>
          <w:rFonts w:hint="eastAsia" w:ascii="宋体" w:hAnsi="宋体"/>
          <w:sz w:val="32"/>
          <w:lang w:val="en-US" w:eastAsia="zh-CN"/>
        </w:rPr>
        <w:t>含</w:t>
      </w:r>
      <w:r>
        <w:rPr>
          <w:rFonts w:hint="eastAsia" w:ascii="宋体" w:hAnsi="宋体"/>
          <w:sz w:val="32"/>
        </w:rPr>
        <w:t>纸箱</w:t>
      </w:r>
      <w:r>
        <w:rPr>
          <w:rFonts w:hint="eastAsia" w:ascii="宋体" w:hAnsi="宋体"/>
          <w:sz w:val="32"/>
          <w:lang w:val="en-US" w:eastAsia="zh-CN"/>
        </w:rPr>
        <w:t>主体</w:t>
      </w:r>
      <w:r>
        <w:rPr>
          <w:rFonts w:hint="eastAsia" w:ascii="宋体" w:hAnsi="宋体"/>
          <w:sz w:val="32"/>
        </w:rPr>
        <w:t>及中间间隔组件</w:t>
      </w:r>
      <w:r>
        <w:rPr>
          <w:rFonts w:hint="eastAsia" w:ascii="宋体" w:hAnsi="宋体"/>
          <w:sz w:val="32"/>
          <w:lang w:eastAsia="zh-CN"/>
        </w:rPr>
        <w:t>，</w:t>
      </w:r>
      <w:r>
        <w:rPr>
          <w:rFonts w:hint="eastAsia" w:ascii="宋体" w:hAnsi="宋体"/>
          <w:sz w:val="32"/>
          <w:lang w:val="en-US" w:eastAsia="zh-CN"/>
        </w:rPr>
        <w:t>但</w:t>
      </w:r>
      <w:r>
        <w:rPr>
          <w:rFonts w:hint="eastAsia" w:ascii="宋体" w:hAnsi="宋体"/>
          <w:sz w:val="32"/>
        </w:rPr>
        <w:t>不含箱盖和垫纸）。</w:t>
      </w:r>
    </w:p>
    <w:p w14:paraId="36228F93">
      <w:pPr>
        <w:numPr>
          <w:ilvl w:val="0"/>
          <w:numId w:val="2"/>
        </w:numPr>
        <w:spacing w:line="500" w:lineRule="exact"/>
        <w:ind w:firstLine="640"/>
        <w:rPr>
          <w:rFonts w:ascii="宋体" w:hAnsi="宋体"/>
          <w:sz w:val="32"/>
        </w:rPr>
      </w:pPr>
      <w:r>
        <w:rPr>
          <w:rFonts w:hint="eastAsia" w:ascii="宋体" w:hAnsi="宋体"/>
          <w:sz w:val="32"/>
        </w:rPr>
        <w:t>箱盖规格：</w:t>
      </w:r>
      <w:r>
        <w:rPr>
          <w:rFonts w:ascii="宋体" w:hAnsi="宋体"/>
          <w:sz w:val="32"/>
        </w:rPr>
        <w:t>635</w:t>
      </w:r>
      <w:r>
        <w:rPr>
          <w:rFonts w:hint="eastAsia" w:ascii="宋体" w:hAnsi="宋体"/>
          <w:sz w:val="32"/>
        </w:rPr>
        <w:t>mm×</w:t>
      </w:r>
      <w:r>
        <w:rPr>
          <w:rFonts w:ascii="宋体" w:hAnsi="宋体"/>
          <w:sz w:val="32"/>
        </w:rPr>
        <w:t>495</w:t>
      </w:r>
      <w:r>
        <w:rPr>
          <w:rFonts w:hint="eastAsia" w:ascii="宋体" w:hAnsi="宋体"/>
          <w:sz w:val="32"/>
        </w:rPr>
        <w:t>mm，重量不低于200克，材质与底板一样。</w:t>
      </w:r>
    </w:p>
    <w:p w14:paraId="44D1BF44">
      <w:pPr>
        <w:numPr>
          <w:ilvl w:val="0"/>
          <w:numId w:val="2"/>
        </w:numPr>
        <w:spacing w:line="500" w:lineRule="exact"/>
        <w:ind w:firstLine="640" w:firstLineChars="200"/>
        <w:rPr>
          <w:rFonts w:ascii="宋体" w:hAnsi="宋体"/>
          <w:sz w:val="32"/>
        </w:rPr>
      </w:pPr>
      <w:r>
        <w:rPr>
          <w:rFonts w:hint="eastAsia" w:ascii="宋体" w:hAnsi="宋体"/>
          <w:sz w:val="32"/>
        </w:rPr>
        <w:t>材质要求：三层单瓦楞纸板，面纸为K纸，坑纸为140克。</w:t>
      </w:r>
    </w:p>
    <w:p w14:paraId="07572C7D">
      <w:pPr>
        <w:numPr>
          <w:ilvl w:val="0"/>
          <w:numId w:val="2"/>
        </w:numPr>
        <w:spacing w:line="500" w:lineRule="exact"/>
        <w:ind w:firstLine="640" w:firstLineChars="200"/>
        <w:rPr>
          <w:rFonts w:ascii="宋体" w:hAnsi="宋体"/>
          <w:sz w:val="32"/>
        </w:rPr>
      </w:pPr>
      <w:r>
        <w:rPr>
          <w:rFonts w:hint="eastAsia" w:ascii="宋体" w:hAnsi="宋体"/>
          <w:sz w:val="32"/>
        </w:rPr>
        <w:t>质量要求：切口平整，面纸、底面纸、瓦楞纸与芯纸相互之间粘合良好，无面纸与瓦楞纸或芯纸分离情况；折叠成型后的体积必须完全符合规格要求，不能出现缝隙过大或两翼不对称的情况。</w:t>
      </w:r>
      <w:r>
        <w:rPr>
          <w:rFonts w:hint="eastAsia" w:ascii="宋体" w:hAnsi="宋体"/>
          <w:sz w:val="32"/>
          <w:lang w:val="en-US" w:eastAsia="zh-CN"/>
        </w:rPr>
        <w:t>箱体四周及内隔板要打相应数量的透气孔，打孔碎屑清除干净，不出现滞留在纸板中的情况。</w:t>
      </w:r>
    </w:p>
    <w:p w14:paraId="159C94C0">
      <w:pPr>
        <w:numPr>
          <w:ilvl w:val="0"/>
          <w:numId w:val="2"/>
        </w:numPr>
        <w:spacing w:line="500" w:lineRule="exact"/>
        <w:ind w:firstLine="640" w:firstLineChars="200"/>
        <w:rPr>
          <w:rFonts w:ascii="宋体" w:hAnsi="宋体"/>
          <w:sz w:val="32"/>
        </w:rPr>
      </w:pPr>
      <w:r>
        <w:rPr>
          <w:rFonts w:hint="eastAsia" w:ascii="宋体" w:hAnsi="宋体"/>
          <w:sz w:val="32"/>
        </w:rPr>
        <w:t>有字纸箱图案印刷清晰无误，色泽鲜艳，无重印、染色等情况。同时要确保每批纸箱的表面图案和字体色泽保持一致，无色差。</w:t>
      </w:r>
    </w:p>
    <w:p w14:paraId="1741DAF8">
      <w:pPr>
        <w:numPr>
          <w:ilvl w:val="0"/>
          <w:numId w:val="2"/>
        </w:numPr>
        <w:spacing w:line="500" w:lineRule="exact"/>
        <w:ind w:left="1" w:firstLine="707" w:firstLineChars="221"/>
        <w:rPr>
          <w:rFonts w:ascii="宋体" w:hAnsi="宋体"/>
          <w:sz w:val="32"/>
        </w:rPr>
      </w:pPr>
      <w:r>
        <w:rPr>
          <w:rFonts w:hint="eastAsia" w:ascii="宋体" w:hAnsi="宋体"/>
          <w:sz w:val="32"/>
        </w:rPr>
        <w:t>硬度要求：纸箱反转放在地面，能承受体重70kg的成人双足平稳站立在上面，纸箱不会凹陷。</w:t>
      </w:r>
    </w:p>
    <w:p w14:paraId="5DADD597">
      <w:pPr>
        <w:numPr>
          <w:ilvl w:val="0"/>
          <w:numId w:val="2"/>
        </w:numPr>
        <w:spacing w:line="500" w:lineRule="exact"/>
        <w:ind w:firstLine="640"/>
        <w:rPr>
          <w:rFonts w:ascii="宋体" w:hAnsi="宋体"/>
          <w:sz w:val="32"/>
        </w:rPr>
      </w:pPr>
      <w:r>
        <w:rPr>
          <w:rFonts w:hint="eastAsia" w:ascii="宋体" w:hAnsi="宋体"/>
          <w:sz w:val="32"/>
        </w:rPr>
        <w:t>防水要求：纸箱遇水淋湿30分钟之内不会渗透。</w:t>
      </w:r>
    </w:p>
    <w:p w14:paraId="515DB920">
      <w:pPr>
        <w:numPr>
          <w:ilvl w:val="0"/>
          <w:numId w:val="2"/>
        </w:numPr>
        <w:spacing w:line="500" w:lineRule="exact"/>
        <w:ind w:firstLine="640"/>
        <w:rPr>
          <w:rFonts w:ascii="宋体" w:hAnsi="宋体"/>
          <w:sz w:val="32"/>
        </w:rPr>
      </w:pPr>
      <w:r>
        <w:rPr>
          <w:rFonts w:hint="eastAsia" w:ascii="宋体" w:hAnsi="宋体"/>
          <w:sz w:val="32"/>
          <w:lang w:val="en-US" w:eastAsia="zh-CN"/>
        </w:rPr>
        <w:t>箱内垫纸要求：要求</w:t>
      </w:r>
      <w:r>
        <w:rPr>
          <w:rFonts w:hint="eastAsia" w:ascii="宋体" w:hAnsi="宋体"/>
          <w:sz w:val="32"/>
        </w:rPr>
        <w:t>纸张</w:t>
      </w:r>
      <w:r>
        <w:rPr>
          <w:rFonts w:hint="eastAsia" w:ascii="宋体" w:hAnsi="宋体"/>
          <w:sz w:val="32"/>
          <w:lang w:val="en-US" w:eastAsia="zh-CN"/>
        </w:rPr>
        <w:t>两面</w:t>
      </w:r>
      <w:r>
        <w:rPr>
          <w:rFonts w:hint="eastAsia" w:ascii="宋体" w:hAnsi="宋体"/>
          <w:sz w:val="32"/>
        </w:rPr>
        <w:t>粗糙，按</w:t>
      </w:r>
      <w:r>
        <w:rPr>
          <w:rFonts w:hint="eastAsia" w:ascii="宋体" w:hAnsi="宋体"/>
          <w:sz w:val="32"/>
          <w:lang w:val="en-US" w:eastAsia="zh-CN"/>
        </w:rPr>
        <w:t>纸箱内</w:t>
      </w:r>
      <w:r>
        <w:rPr>
          <w:rFonts w:hint="eastAsia" w:ascii="宋体" w:hAnsi="宋体"/>
          <w:sz w:val="32"/>
        </w:rPr>
        <w:t>尺寸规格裁剪好</w:t>
      </w:r>
      <w:r>
        <w:rPr>
          <w:rFonts w:hint="eastAsia" w:ascii="宋体" w:hAnsi="宋体"/>
          <w:sz w:val="32"/>
          <w:lang w:eastAsia="zh-CN"/>
        </w:rPr>
        <w:t>，</w:t>
      </w:r>
      <w:r>
        <w:rPr>
          <w:rFonts w:hint="eastAsia" w:ascii="宋体" w:hAnsi="宋体"/>
          <w:sz w:val="32"/>
          <w:lang w:val="en-US" w:eastAsia="zh-CN"/>
        </w:rPr>
        <w:t>一个纸箱四格，每格一张垫纸；如孵化厂要求不裁剪，则按整张。</w:t>
      </w:r>
    </w:p>
    <w:p w14:paraId="756F896E">
      <w:pPr>
        <w:numPr>
          <w:ilvl w:val="0"/>
          <w:numId w:val="2"/>
        </w:numPr>
        <w:spacing w:line="500" w:lineRule="exact"/>
        <w:ind w:firstLine="640"/>
        <w:rPr>
          <w:rFonts w:ascii="宋体" w:hAnsi="宋体"/>
          <w:sz w:val="32"/>
        </w:rPr>
      </w:pPr>
      <w:r>
        <w:rPr>
          <w:rFonts w:hint="eastAsia" w:ascii="宋体" w:hAnsi="宋体"/>
          <w:color w:val="FF0000"/>
          <w:sz w:val="32"/>
          <w:lang w:val="en-US" w:eastAsia="zh-CN"/>
        </w:rPr>
        <w:t>收货孵化厂将按以上质量要求验收，主要项目不达要求影响使用的，将拒收退回</w:t>
      </w:r>
      <w:r>
        <w:rPr>
          <w:rFonts w:hint="eastAsia" w:ascii="宋体" w:hAnsi="宋体"/>
          <w:sz w:val="32"/>
          <w:lang w:val="en-US" w:eastAsia="zh-CN"/>
        </w:rPr>
        <w:t>。</w:t>
      </w:r>
    </w:p>
    <w:p w14:paraId="1A350948">
      <w:pPr>
        <w:spacing w:line="240" w:lineRule="auto"/>
        <w:ind w:left="640" w:leftChars="0" w:hanging="640" w:hangingChars="200"/>
        <w:jc w:val="both"/>
        <w:rPr>
          <w:rFonts w:ascii="宋体" w:hAnsi="宋体"/>
          <w:sz w:val="32"/>
        </w:rPr>
      </w:pPr>
      <w:r>
        <w:rPr>
          <w:rFonts w:ascii="宋体" w:hAnsi="宋体"/>
          <w:sz w:val="32"/>
        </w:rPr>
        <w:drawing>
          <wp:inline distT="0" distB="0" distL="114300" distR="114300">
            <wp:extent cx="6114415" cy="2339975"/>
            <wp:effectExtent l="0" t="0" r="635" b="3175"/>
            <wp:docPr id="2" name="图片 2" descr="纸箱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纸箱图片-1"/>
                    <pic:cNvPicPr>
                      <a:picLocks noChangeAspect="1"/>
                    </pic:cNvPicPr>
                  </pic:nvPicPr>
                  <pic:blipFill>
                    <a:blip r:embed="rId5"/>
                    <a:stretch>
                      <a:fillRect/>
                    </a:stretch>
                  </pic:blipFill>
                  <pic:spPr>
                    <a:xfrm>
                      <a:off x="0" y="0"/>
                      <a:ext cx="6114415" cy="2339975"/>
                    </a:xfrm>
                    <a:prstGeom prst="rect">
                      <a:avLst/>
                    </a:prstGeom>
                  </pic:spPr>
                </pic:pic>
              </a:graphicData>
            </a:graphic>
          </wp:inline>
        </w:drawing>
      </w:r>
    </w:p>
    <w:p w14:paraId="78BC41EA">
      <w:pPr>
        <w:spacing w:line="500" w:lineRule="exact"/>
        <w:ind w:firstLine="643" w:firstLineChars="200"/>
        <w:rPr>
          <w:b/>
          <w:color w:val="000000"/>
          <w:sz w:val="32"/>
        </w:rPr>
      </w:pPr>
      <w:r>
        <w:rPr>
          <w:rFonts w:hint="eastAsia"/>
          <w:b/>
          <w:color w:val="000000"/>
          <w:sz w:val="32"/>
        </w:rPr>
        <w:t>四、</w:t>
      </w:r>
      <w:r>
        <w:rPr>
          <w:b/>
          <w:color w:val="000000"/>
          <w:sz w:val="32"/>
        </w:rPr>
        <w:t>招标</w:t>
      </w:r>
      <w:r>
        <w:rPr>
          <w:rFonts w:hint="eastAsia"/>
          <w:b/>
          <w:color w:val="000000"/>
          <w:sz w:val="32"/>
        </w:rPr>
        <w:t>时间</w:t>
      </w:r>
    </w:p>
    <w:p w14:paraId="2759B06B">
      <w:pPr>
        <w:spacing w:line="500" w:lineRule="exact"/>
        <w:ind w:firstLine="640" w:firstLineChars="200"/>
        <w:rPr>
          <w:color w:val="000000"/>
          <w:sz w:val="32"/>
        </w:rPr>
      </w:pPr>
      <w:r>
        <w:rPr>
          <w:rFonts w:hint="eastAsia"/>
          <w:color w:val="FF0000"/>
          <w:sz w:val="32"/>
        </w:rPr>
        <w:t>202</w:t>
      </w:r>
      <w:r>
        <w:rPr>
          <w:rFonts w:hint="eastAsia"/>
          <w:color w:val="FF0000"/>
          <w:sz w:val="32"/>
          <w:lang w:val="en-US" w:eastAsia="zh-CN"/>
        </w:rPr>
        <w:t>5</w:t>
      </w:r>
      <w:r>
        <w:rPr>
          <w:rFonts w:hint="eastAsia"/>
          <w:color w:val="FF0000"/>
          <w:sz w:val="32"/>
        </w:rPr>
        <w:t>年</w:t>
      </w:r>
      <w:r>
        <w:rPr>
          <w:rFonts w:hint="eastAsia"/>
          <w:color w:val="FF0000"/>
          <w:sz w:val="32"/>
          <w:lang w:val="en-US" w:eastAsia="zh-CN"/>
        </w:rPr>
        <w:t>12</w:t>
      </w:r>
      <w:r>
        <w:rPr>
          <w:rFonts w:hint="eastAsia"/>
          <w:color w:val="FF0000"/>
          <w:sz w:val="32"/>
        </w:rPr>
        <w:t>月</w:t>
      </w:r>
      <w:r>
        <w:rPr>
          <w:rFonts w:hint="eastAsia"/>
          <w:color w:val="FF0000"/>
          <w:sz w:val="32"/>
          <w:u w:val="single"/>
        </w:rPr>
        <w:t xml:space="preserve"> </w:t>
      </w:r>
      <w:r>
        <w:rPr>
          <w:rFonts w:hint="eastAsia"/>
          <w:color w:val="FF0000"/>
          <w:sz w:val="32"/>
          <w:u w:val="single"/>
          <w:lang w:val="en-US" w:eastAsia="zh-CN"/>
        </w:rPr>
        <w:t>23</w:t>
      </w:r>
      <w:r>
        <w:rPr>
          <w:rFonts w:hint="eastAsia"/>
          <w:color w:val="FF0000"/>
          <w:sz w:val="32"/>
        </w:rPr>
        <w:t>日下午</w:t>
      </w:r>
      <w:r>
        <w:rPr>
          <w:rFonts w:hint="eastAsia"/>
          <w:color w:val="FF0000"/>
          <w:sz w:val="32"/>
          <w:u w:val="single"/>
        </w:rPr>
        <w:t>1</w:t>
      </w:r>
      <w:r>
        <w:rPr>
          <w:rFonts w:hint="eastAsia"/>
          <w:color w:val="FF0000"/>
          <w:sz w:val="32"/>
          <w:u w:val="single"/>
          <w:lang w:val="en-US" w:eastAsia="zh-CN"/>
        </w:rPr>
        <w:t>1:0</w:t>
      </w:r>
      <w:r>
        <w:rPr>
          <w:rFonts w:hint="eastAsia"/>
          <w:color w:val="FF0000"/>
          <w:sz w:val="32"/>
          <w:u w:val="single"/>
        </w:rPr>
        <w:t>0</w:t>
      </w:r>
      <w:r>
        <w:rPr>
          <w:rFonts w:hint="eastAsia"/>
          <w:color w:val="FF0000"/>
          <w:sz w:val="32"/>
          <w:u w:val="single"/>
          <w:lang w:eastAsia="zh-CN"/>
        </w:rPr>
        <w:t>—</w:t>
      </w:r>
      <w:r>
        <w:rPr>
          <w:rFonts w:hint="eastAsia"/>
          <w:color w:val="FF0000"/>
          <w:sz w:val="32"/>
          <w:u w:val="single"/>
          <w:lang w:val="en-US" w:eastAsia="zh-CN"/>
        </w:rPr>
        <w:t>15:00</w:t>
      </w:r>
      <w:r>
        <w:rPr>
          <w:rFonts w:hint="eastAsia"/>
          <w:color w:val="FF0000"/>
          <w:sz w:val="32"/>
          <w:u w:val="none"/>
          <w:lang w:val="en-US" w:eastAsia="zh-CN"/>
        </w:rPr>
        <w:t>在招标平台进行报价。</w:t>
      </w:r>
      <w:r>
        <w:rPr>
          <w:rFonts w:hint="eastAsia"/>
          <w:color w:val="FF0000"/>
          <w:sz w:val="32"/>
        </w:rPr>
        <w:t xml:space="preserve"> </w:t>
      </w:r>
    </w:p>
    <w:p w14:paraId="3DB5140D">
      <w:pPr>
        <w:spacing w:line="500" w:lineRule="exact"/>
        <w:ind w:firstLine="643" w:firstLineChars="200"/>
        <w:rPr>
          <w:color w:val="000000"/>
          <w:sz w:val="32"/>
        </w:rPr>
      </w:pPr>
      <w:r>
        <w:rPr>
          <w:rFonts w:hint="eastAsia"/>
          <w:b/>
          <w:color w:val="000000"/>
          <w:sz w:val="32"/>
        </w:rPr>
        <w:t>五、投标方式及开标地点：</w:t>
      </w:r>
      <w:r>
        <w:rPr>
          <w:rFonts w:hint="eastAsia"/>
          <w:color w:val="000000"/>
          <w:sz w:val="32"/>
        </w:rPr>
        <w:t>投标</w:t>
      </w:r>
      <w:r>
        <w:rPr>
          <w:rFonts w:hint="eastAsia"/>
          <w:color w:val="000000"/>
          <w:sz w:val="32"/>
          <w:lang w:val="en-US" w:eastAsia="zh-CN"/>
        </w:rPr>
        <w:t>方式</w:t>
      </w:r>
      <w:r>
        <w:rPr>
          <w:rFonts w:hint="eastAsia"/>
          <w:color w:val="000000"/>
          <w:sz w:val="32"/>
        </w:rPr>
        <w:t>通过温氏股份招标平台</w:t>
      </w:r>
      <w:r>
        <w:rPr>
          <w:rFonts w:hint="eastAsia"/>
          <w:color w:val="000000"/>
          <w:sz w:val="32"/>
          <w:lang w:val="en-US" w:eastAsia="zh-CN"/>
        </w:rPr>
        <w:t>网上招投标</w:t>
      </w:r>
      <w:r>
        <w:rPr>
          <w:rFonts w:hint="eastAsia"/>
          <w:color w:val="000000"/>
          <w:sz w:val="32"/>
        </w:rPr>
        <w:t>（</w:t>
      </w:r>
      <w:r>
        <w:rPr>
          <w:color w:val="FF0000"/>
          <w:sz w:val="32"/>
        </w:rPr>
        <w:t>https://bid.wens.com.cn/</w:t>
      </w:r>
      <w:r>
        <w:rPr>
          <w:rFonts w:hint="eastAsia"/>
          <w:color w:val="000000"/>
          <w:sz w:val="32"/>
        </w:rPr>
        <w:t>），开标地点在育种公司总部，地址：广东省新兴县新城镇东堤北路6号。</w:t>
      </w:r>
    </w:p>
    <w:p w14:paraId="159B2CD6">
      <w:pPr>
        <w:spacing w:line="500" w:lineRule="exact"/>
        <w:ind w:firstLine="643" w:firstLineChars="200"/>
        <w:rPr>
          <w:color w:val="000000"/>
          <w:sz w:val="32"/>
        </w:rPr>
      </w:pPr>
      <w:r>
        <w:rPr>
          <w:rFonts w:hint="eastAsia"/>
          <w:b/>
          <w:color w:val="000000"/>
          <w:sz w:val="32"/>
        </w:rPr>
        <w:t>六、</w:t>
      </w:r>
      <w:r>
        <w:rPr>
          <w:b/>
          <w:color w:val="000000"/>
          <w:sz w:val="32"/>
        </w:rPr>
        <w:t>投标资格和要求</w:t>
      </w:r>
    </w:p>
    <w:p w14:paraId="2DD7F17B">
      <w:pPr>
        <w:numPr>
          <w:ilvl w:val="0"/>
          <w:numId w:val="3"/>
        </w:numPr>
        <w:spacing w:line="500" w:lineRule="exact"/>
        <w:ind w:firstLine="640" w:firstLineChars="200"/>
        <w:rPr>
          <w:color w:val="000000"/>
          <w:sz w:val="32"/>
        </w:rPr>
      </w:pPr>
      <w:r>
        <w:rPr>
          <w:rFonts w:hint="eastAsia"/>
          <w:color w:val="FF0000"/>
          <w:sz w:val="32"/>
          <w:lang w:val="en-US" w:eastAsia="zh-CN"/>
        </w:rPr>
        <w:t>做过鸡苗纸箱，经育种公司招投标小组评估其生产能力和质量，确认投标资格。</w:t>
      </w:r>
      <w:r>
        <w:rPr>
          <w:rFonts w:hint="eastAsia"/>
          <w:color w:val="auto"/>
          <w:sz w:val="32"/>
          <w:lang w:val="en-US" w:eastAsia="zh-CN"/>
        </w:rPr>
        <w:t>（收件信息：单位 广东温氏南方家禽育种有限公司，地址 广东省云浮市新兴县新城镇东堤北路6号，收件人 林水英，电话 13711653694，电子邮箱302934222@qq.com）</w:t>
      </w:r>
    </w:p>
    <w:p w14:paraId="5B62EF0C">
      <w:pPr>
        <w:numPr>
          <w:ilvl w:val="0"/>
          <w:numId w:val="3"/>
        </w:numPr>
        <w:spacing w:line="500" w:lineRule="exact"/>
        <w:ind w:firstLine="640" w:firstLineChars="200"/>
        <w:rPr>
          <w:color w:val="000000"/>
          <w:sz w:val="32"/>
        </w:rPr>
      </w:pPr>
      <w:r>
        <w:rPr>
          <w:rFonts w:hint="eastAsia"/>
          <w:color w:val="000000"/>
          <w:sz w:val="32"/>
        </w:rPr>
        <w:t>拥有合法生产与经营纸箱制品的资格，且资信良好。</w:t>
      </w:r>
    </w:p>
    <w:p w14:paraId="19FA2DE1">
      <w:pPr>
        <w:numPr>
          <w:ilvl w:val="0"/>
          <w:numId w:val="3"/>
        </w:numPr>
        <w:spacing w:line="500" w:lineRule="exact"/>
        <w:ind w:firstLine="640" w:firstLineChars="200"/>
        <w:rPr>
          <w:color w:val="000000"/>
          <w:sz w:val="32"/>
        </w:rPr>
      </w:pPr>
      <w:r>
        <w:rPr>
          <w:rFonts w:hint="eastAsia"/>
          <w:color w:val="000000"/>
          <w:sz w:val="32"/>
        </w:rPr>
        <w:t xml:space="preserve">具有产品质量风险承担能力与送货到厂时间保障能力，承担因产品质量问题或送货时间延误问题对本公司所造成的损失。 </w:t>
      </w:r>
    </w:p>
    <w:p w14:paraId="137B4412">
      <w:pPr>
        <w:numPr>
          <w:ilvl w:val="0"/>
          <w:numId w:val="3"/>
        </w:numPr>
        <w:spacing w:line="500" w:lineRule="exact"/>
        <w:ind w:firstLine="640" w:firstLineChars="200"/>
        <w:rPr>
          <w:color w:val="000000"/>
          <w:sz w:val="32"/>
        </w:rPr>
      </w:pPr>
      <w:r>
        <w:rPr>
          <w:rFonts w:hint="eastAsia" w:ascii="宋体" w:hAnsi="宋体"/>
          <w:sz w:val="32"/>
        </w:rPr>
        <w:t>中标方自行做好运输安排，并自行承担运费；招标价为到厂/场的含税价。</w:t>
      </w:r>
    </w:p>
    <w:p w14:paraId="00ACE693">
      <w:pPr>
        <w:numPr>
          <w:ilvl w:val="0"/>
          <w:numId w:val="3"/>
        </w:numPr>
        <w:spacing w:line="500" w:lineRule="exact"/>
        <w:ind w:firstLine="640" w:firstLineChars="200"/>
        <w:rPr>
          <w:color w:val="000000"/>
          <w:sz w:val="32"/>
        </w:rPr>
      </w:pPr>
      <w:r>
        <w:rPr>
          <w:rFonts w:hint="eastAsia"/>
          <w:color w:val="000000"/>
          <w:sz w:val="32"/>
        </w:rPr>
        <w:t>我公司招投标小组提前确定系统评标规则，本次招投标设最高上限价</w:t>
      </w:r>
      <w:r>
        <w:rPr>
          <w:rFonts w:hint="eastAsia"/>
          <w:color w:val="000000"/>
          <w:sz w:val="32"/>
          <w:lang w:eastAsia="zh-CN"/>
        </w:rPr>
        <w:t>，</w:t>
      </w:r>
      <w:r>
        <w:rPr>
          <w:rFonts w:hint="eastAsia"/>
          <w:color w:val="000000"/>
          <w:sz w:val="32"/>
        </w:rPr>
        <w:t>供应商出价竞投</w:t>
      </w:r>
      <w:r>
        <w:rPr>
          <w:rFonts w:hint="eastAsia"/>
          <w:color w:val="FF0000"/>
          <w:sz w:val="32"/>
          <w:lang w:eastAsia="zh-CN"/>
        </w:rPr>
        <w:t>（</w:t>
      </w:r>
      <w:r>
        <w:rPr>
          <w:rFonts w:hint="eastAsia"/>
          <w:color w:val="FF0000"/>
          <w:sz w:val="32"/>
          <w:lang w:val="en-US" w:eastAsia="zh-CN"/>
        </w:rPr>
        <w:t>按无字纸箱报价</w:t>
      </w:r>
      <w:r>
        <w:rPr>
          <w:rFonts w:hint="eastAsia"/>
          <w:color w:val="FF0000"/>
          <w:sz w:val="32"/>
          <w:lang w:eastAsia="zh-CN"/>
        </w:rPr>
        <w:t>）</w:t>
      </w:r>
      <w:r>
        <w:rPr>
          <w:rFonts w:hint="eastAsia"/>
          <w:color w:val="000000"/>
          <w:sz w:val="32"/>
        </w:rPr>
        <w:t>，最终确定投标报价最低</w:t>
      </w:r>
      <w:r>
        <w:rPr>
          <w:rFonts w:hint="eastAsia"/>
          <w:color w:val="000000"/>
          <w:sz w:val="32"/>
          <w:lang w:val="en-US" w:eastAsia="zh-CN"/>
        </w:rPr>
        <w:t>且不高于上限价</w:t>
      </w:r>
      <w:r>
        <w:rPr>
          <w:rFonts w:hint="eastAsia"/>
          <w:color w:val="000000"/>
          <w:sz w:val="32"/>
        </w:rPr>
        <w:t>的为中标者。最高上限价在完成招投标后公布。如有相同报价，则同价者进行二次报价。</w:t>
      </w:r>
    </w:p>
    <w:p w14:paraId="1416641F">
      <w:pPr>
        <w:numPr>
          <w:ilvl w:val="0"/>
          <w:numId w:val="3"/>
        </w:numPr>
        <w:spacing w:line="500" w:lineRule="exact"/>
        <w:ind w:firstLine="640" w:firstLineChars="200"/>
        <w:rPr>
          <w:b/>
          <w:color w:val="000000"/>
          <w:sz w:val="32"/>
        </w:rPr>
      </w:pPr>
      <w:r>
        <w:rPr>
          <w:rFonts w:hint="eastAsia"/>
          <w:color w:val="000000"/>
          <w:sz w:val="32"/>
        </w:rPr>
        <w:t>保证金要求：投第一标的供应商投标前须交纳</w:t>
      </w:r>
      <w:r>
        <w:rPr>
          <w:rFonts w:hint="eastAsia"/>
          <w:color w:val="000000"/>
          <w:sz w:val="32"/>
          <w:lang w:val="en-US" w:eastAsia="zh-CN"/>
        </w:rPr>
        <w:t>2</w:t>
      </w:r>
      <w:r>
        <w:rPr>
          <w:rFonts w:hint="eastAsia"/>
          <w:color w:val="000000"/>
          <w:sz w:val="32"/>
        </w:rPr>
        <w:t>万元保证金，投第二、第三、第四标</w:t>
      </w:r>
      <w:r>
        <w:rPr>
          <w:rFonts w:hint="eastAsia"/>
          <w:color w:val="000000"/>
          <w:sz w:val="32"/>
          <w:lang w:eastAsia="zh-CN"/>
        </w:rPr>
        <w:t>、</w:t>
      </w:r>
      <w:r>
        <w:rPr>
          <w:rFonts w:hint="eastAsia"/>
          <w:color w:val="000000"/>
          <w:sz w:val="32"/>
        </w:rPr>
        <w:t>第</w:t>
      </w:r>
      <w:r>
        <w:rPr>
          <w:rFonts w:hint="eastAsia"/>
          <w:color w:val="000000"/>
          <w:sz w:val="32"/>
          <w:lang w:val="en-US" w:eastAsia="zh-CN"/>
        </w:rPr>
        <w:t>五</w:t>
      </w:r>
      <w:r>
        <w:rPr>
          <w:rFonts w:hint="eastAsia"/>
          <w:color w:val="000000"/>
          <w:sz w:val="32"/>
        </w:rPr>
        <w:t>标的供应商各个标的交纳</w:t>
      </w:r>
      <w:r>
        <w:rPr>
          <w:rFonts w:hint="eastAsia"/>
          <w:color w:val="000000"/>
          <w:sz w:val="32"/>
          <w:lang w:val="en-US" w:eastAsia="zh-CN"/>
        </w:rPr>
        <w:t>1</w:t>
      </w:r>
      <w:r>
        <w:rPr>
          <w:rFonts w:hint="eastAsia"/>
          <w:color w:val="000000"/>
          <w:sz w:val="32"/>
        </w:rPr>
        <w:t>万元保证金，不中标者</w:t>
      </w:r>
      <w:r>
        <w:rPr>
          <w:rFonts w:hint="eastAsia"/>
          <w:color w:val="000000"/>
          <w:sz w:val="32"/>
          <w:lang w:val="en-US" w:eastAsia="zh-CN"/>
        </w:rPr>
        <w:t>投标结束后次月内安排</w:t>
      </w:r>
      <w:r>
        <w:rPr>
          <w:rFonts w:hint="eastAsia"/>
          <w:color w:val="000000"/>
          <w:sz w:val="32"/>
        </w:rPr>
        <w:t>退还，在确定中标单位后，签订合同转为合同保证金。如中标后弃权的，由育种公司没收其保证金。</w:t>
      </w:r>
      <w:r>
        <w:rPr>
          <w:rFonts w:hint="eastAsia"/>
          <w:b/>
          <w:color w:val="000000"/>
          <w:sz w:val="32"/>
        </w:rPr>
        <w:t>投多个标的的，需交多份保证金。</w:t>
      </w:r>
    </w:p>
    <w:p w14:paraId="38ABC39B">
      <w:pPr>
        <w:numPr>
          <w:ilvl w:val="0"/>
          <w:numId w:val="3"/>
        </w:numPr>
        <w:spacing w:line="500" w:lineRule="exact"/>
        <w:ind w:firstLine="640" w:firstLineChars="200"/>
        <w:rPr>
          <w:color w:val="000000"/>
          <w:sz w:val="32"/>
        </w:rPr>
      </w:pPr>
      <w:r>
        <w:rPr>
          <w:rFonts w:hint="eastAsia"/>
          <w:color w:val="000000"/>
          <w:sz w:val="32"/>
        </w:rPr>
        <w:t>保证金缴纳方式：供应商需通过银行转账方式交纳，并需在</w:t>
      </w:r>
      <w:r>
        <w:rPr>
          <w:rFonts w:hint="eastAsia"/>
          <w:color w:val="FF0000"/>
          <w:sz w:val="32"/>
          <w:lang w:val="en-US" w:eastAsia="zh-CN"/>
        </w:rPr>
        <w:t>2025年12</w:t>
      </w:r>
      <w:r>
        <w:rPr>
          <w:rFonts w:hint="eastAsia"/>
          <w:color w:val="FF0000"/>
          <w:sz w:val="32"/>
        </w:rPr>
        <w:t>月</w:t>
      </w:r>
      <w:r>
        <w:rPr>
          <w:rFonts w:hint="eastAsia"/>
          <w:color w:val="FF0000"/>
          <w:sz w:val="32"/>
          <w:lang w:val="en-US" w:eastAsia="zh-CN"/>
        </w:rPr>
        <w:t>23</w:t>
      </w:r>
      <w:r>
        <w:rPr>
          <w:rFonts w:hint="eastAsia"/>
          <w:color w:val="FF0000"/>
          <w:sz w:val="32"/>
        </w:rPr>
        <w:t>日</w:t>
      </w:r>
      <w:r>
        <w:rPr>
          <w:rFonts w:hint="eastAsia"/>
          <w:color w:val="FF0000"/>
          <w:sz w:val="32"/>
          <w:lang w:val="en-US" w:eastAsia="zh-CN"/>
        </w:rPr>
        <w:t>11：00</w:t>
      </w:r>
      <w:r>
        <w:rPr>
          <w:rFonts w:hint="eastAsia"/>
          <w:color w:val="000000"/>
          <w:sz w:val="32"/>
        </w:rPr>
        <w:t>前完成。(转账时请备注：投第XX标)</w:t>
      </w:r>
    </w:p>
    <w:p w14:paraId="099F96C2">
      <w:pPr>
        <w:spacing w:line="500" w:lineRule="exact"/>
        <w:ind w:firstLine="643" w:firstLineChars="200"/>
        <w:rPr>
          <w:b/>
          <w:color w:val="000000"/>
          <w:sz w:val="32"/>
        </w:rPr>
      </w:pPr>
      <w:r>
        <w:rPr>
          <w:rFonts w:hint="eastAsia"/>
          <w:b/>
          <w:color w:val="000000"/>
          <w:sz w:val="32"/>
        </w:rPr>
        <w:t>投第一标保证金收款账户：</w:t>
      </w:r>
    </w:p>
    <w:p w14:paraId="135057B2">
      <w:pPr>
        <w:spacing w:line="500" w:lineRule="exact"/>
        <w:ind w:left="640"/>
        <w:rPr>
          <w:color w:val="000000"/>
          <w:sz w:val="32"/>
        </w:rPr>
      </w:pPr>
      <w:r>
        <w:rPr>
          <w:rFonts w:hint="eastAsia"/>
          <w:color w:val="000000"/>
          <w:sz w:val="32"/>
        </w:rPr>
        <w:t>收款人：广东温氏南方家禽育种有限公司</w:t>
      </w:r>
    </w:p>
    <w:p w14:paraId="4E82E624">
      <w:pPr>
        <w:spacing w:line="500" w:lineRule="exact"/>
        <w:ind w:left="640"/>
        <w:rPr>
          <w:color w:val="000000"/>
          <w:sz w:val="32"/>
        </w:rPr>
      </w:pPr>
      <w:r>
        <w:rPr>
          <w:rFonts w:hint="eastAsia"/>
          <w:color w:val="000000"/>
          <w:sz w:val="32"/>
        </w:rPr>
        <w:t>收款账号：2020 0060 1910 0038 217</w:t>
      </w:r>
    </w:p>
    <w:p w14:paraId="516E98E7">
      <w:pPr>
        <w:spacing w:line="500" w:lineRule="exact"/>
        <w:ind w:left="640"/>
        <w:rPr>
          <w:color w:val="000000"/>
          <w:sz w:val="32"/>
        </w:rPr>
      </w:pPr>
      <w:r>
        <w:rPr>
          <w:rFonts w:hint="eastAsia"/>
          <w:color w:val="000000"/>
          <w:sz w:val="32"/>
        </w:rPr>
        <w:t>开户行：中国工商银行云浮市新兴支行</w:t>
      </w:r>
      <w:bookmarkStart w:id="0" w:name="_GoBack"/>
      <w:bookmarkEnd w:id="0"/>
    </w:p>
    <w:p w14:paraId="08EB487C">
      <w:pPr>
        <w:spacing w:line="500" w:lineRule="exact"/>
        <w:ind w:left="640"/>
        <w:rPr>
          <w:b/>
          <w:color w:val="000000"/>
          <w:sz w:val="32"/>
        </w:rPr>
      </w:pPr>
      <w:r>
        <w:rPr>
          <w:rFonts w:hint="eastAsia"/>
          <w:b/>
          <w:color w:val="000000"/>
          <w:sz w:val="32"/>
        </w:rPr>
        <w:t>投第二、第三标保证金收款账户：</w:t>
      </w:r>
    </w:p>
    <w:p w14:paraId="2609372B">
      <w:pPr>
        <w:spacing w:line="500" w:lineRule="exact"/>
        <w:ind w:left="640"/>
        <w:rPr>
          <w:color w:val="000000"/>
          <w:sz w:val="32"/>
        </w:rPr>
      </w:pPr>
      <w:r>
        <w:rPr>
          <w:rFonts w:hint="eastAsia"/>
          <w:color w:val="000000"/>
          <w:sz w:val="32"/>
        </w:rPr>
        <w:t>收款人：咸宁温氏家禽育种有限公司</w:t>
      </w:r>
    </w:p>
    <w:p w14:paraId="381E0928">
      <w:pPr>
        <w:spacing w:line="500" w:lineRule="exact"/>
        <w:ind w:left="640"/>
        <w:rPr>
          <w:color w:val="000000"/>
          <w:sz w:val="32"/>
        </w:rPr>
      </w:pPr>
      <w:r>
        <w:rPr>
          <w:rFonts w:hint="eastAsia"/>
          <w:color w:val="000000"/>
          <w:sz w:val="32"/>
        </w:rPr>
        <w:t>收款账号：</w:t>
      </w:r>
      <w:r>
        <w:rPr>
          <w:color w:val="000000"/>
          <w:sz w:val="32"/>
        </w:rPr>
        <w:t>2020</w:t>
      </w:r>
      <w:r>
        <w:rPr>
          <w:rFonts w:hint="eastAsia"/>
          <w:color w:val="000000"/>
          <w:sz w:val="32"/>
        </w:rPr>
        <w:t xml:space="preserve"> </w:t>
      </w:r>
      <w:r>
        <w:rPr>
          <w:color w:val="000000"/>
          <w:sz w:val="32"/>
        </w:rPr>
        <w:t>0032</w:t>
      </w:r>
      <w:r>
        <w:rPr>
          <w:rFonts w:hint="eastAsia"/>
          <w:color w:val="000000"/>
          <w:sz w:val="32"/>
        </w:rPr>
        <w:t xml:space="preserve"> </w:t>
      </w:r>
      <w:r>
        <w:rPr>
          <w:color w:val="000000"/>
          <w:sz w:val="32"/>
        </w:rPr>
        <w:t>1920</w:t>
      </w:r>
      <w:r>
        <w:rPr>
          <w:rFonts w:hint="eastAsia"/>
          <w:color w:val="000000"/>
          <w:sz w:val="32"/>
        </w:rPr>
        <w:t xml:space="preserve"> </w:t>
      </w:r>
      <w:r>
        <w:rPr>
          <w:color w:val="000000"/>
          <w:sz w:val="32"/>
        </w:rPr>
        <w:t>0165636</w:t>
      </w:r>
    </w:p>
    <w:p w14:paraId="379E1EE6">
      <w:pPr>
        <w:spacing w:line="500" w:lineRule="exact"/>
        <w:ind w:left="640"/>
        <w:rPr>
          <w:color w:val="000000"/>
          <w:sz w:val="32"/>
        </w:rPr>
      </w:pPr>
      <w:r>
        <w:rPr>
          <w:rFonts w:hint="eastAsia"/>
          <w:color w:val="000000"/>
          <w:sz w:val="32"/>
        </w:rPr>
        <w:t>开户行：中国工商银行云浮新兴支行</w:t>
      </w:r>
    </w:p>
    <w:p w14:paraId="3C5B2C7D">
      <w:pPr>
        <w:spacing w:line="500" w:lineRule="exact"/>
        <w:ind w:left="640"/>
        <w:rPr>
          <w:b/>
          <w:color w:val="000000"/>
          <w:sz w:val="32"/>
        </w:rPr>
      </w:pPr>
      <w:r>
        <w:rPr>
          <w:rFonts w:hint="eastAsia"/>
          <w:b/>
          <w:color w:val="000000"/>
          <w:sz w:val="32"/>
        </w:rPr>
        <w:t>投第四标保证金收款账户：</w:t>
      </w:r>
    </w:p>
    <w:p w14:paraId="2628697C">
      <w:pPr>
        <w:spacing w:line="500" w:lineRule="exact"/>
        <w:ind w:left="640"/>
        <w:rPr>
          <w:color w:val="000000"/>
          <w:sz w:val="32"/>
        </w:rPr>
      </w:pPr>
      <w:r>
        <w:rPr>
          <w:rFonts w:hint="eastAsia"/>
          <w:color w:val="000000"/>
          <w:sz w:val="32"/>
        </w:rPr>
        <w:t>收款人：眉山温氏家禽育种有限公司</w:t>
      </w:r>
    </w:p>
    <w:p w14:paraId="68813CE7">
      <w:pPr>
        <w:spacing w:line="500" w:lineRule="exact"/>
        <w:ind w:left="640"/>
        <w:rPr>
          <w:color w:val="000000"/>
          <w:sz w:val="32"/>
        </w:rPr>
      </w:pPr>
      <w:r>
        <w:rPr>
          <w:rFonts w:hint="eastAsia"/>
          <w:color w:val="000000"/>
          <w:sz w:val="32"/>
        </w:rPr>
        <w:t>收款账号：</w:t>
      </w:r>
      <w:r>
        <w:rPr>
          <w:color w:val="000000"/>
          <w:sz w:val="32"/>
        </w:rPr>
        <w:t>2020003219200165760</w:t>
      </w:r>
    </w:p>
    <w:p w14:paraId="5E26033D">
      <w:pPr>
        <w:spacing w:line="500" w:lineRule="exact"/>
        <w:ind w:left="640"/>
        <w:rPr>
          <w:rFonts w:hint="eastAsia"/>
          <w:color w:val="000000"/>
          <w:sz w:val="32"/>
        </w:rPr>
      </w:pPr>
      <w:r>
        <w:rPr>
          <w:rFonts w:hint="eastAsia"/>
          <w:color w:val="000000"/>
          <w:sz w:val="32"/>
        </w:rPr>
        <w:t>开户行：中国工商银行云浮新兴支行</w:t>
      </w:r>
    </w:p>
    <w:p w14:paraId="1BACDFB6">
      <w:pPr>
        <w:spacing w:line="500" w:lineRule="exact"/>
        <w:ind w:left="640"/>
        <w:rPr>
          <w:b/>
          <w:color w:val="000000"/>
          <w:sz w:val="32"/>
        </w:rPr>
      </w:pPr>
      <w:r>
        <w:rPr>
          <w:rFonts w:hint="eastAsia"/>
          <w:b/>
          <w:color w:val="000000"/>
          <w:sz w:val="32"/>
        </w:rPr>
        <w:t>投第</w:t>
      </w:r>
      <w:r>
        <w:rPr>
          <w:rFonts w:hint="eastAsia"/>
          <w:b/>
          <w:color w:val="000000"/>
          <w:sz w:val="32"/>
          <w:lang w:val="en-US" w:eastAsia="zh-CN"/>
        </w:rPr>
        <w:t>五</w:t>
      </w:r>
      <w:r>
        <w:rPr>
          <w:rFonts w:hint="eastAsia"/>
          <w:b/>
          <w:color w:val="000000"/>
          <w:sz w:val="32"/>
        </w:rPr>
        <w:t>标保证金收款账户：</w:t>
      </w:r>
    </w:p>
    <w:p w14:paraId="5CD98E82">
      <w:pPr>
        <w:spacing w:line="500" w:lineRule="exact"/>
        <w:ind w:left="640"/>
        <w:rPr>
          <w:color w:val="000000"/>
          <w:sz w:val="32"/>
        </w:rPr>
      </w:pPr>
      <w:r>
        <w:rPr>
          <w:rFonts w:hint="eastAsia"/>
          <w:color w:val="000000"/>
          <w:sz w:val="32"/>
        </w:rPr>
        <w:t>收款人：崇左温氏畜牧有限公司</w:t>
      </w:r>
    </w:p>
    <w:p w14:paraId="1F5BC8A0">
      <w:pPr>
        <w:spacing w:line="500" w:lineRule="exact"/>
        <w:ind w:left="640"/>
        <w:rPr>
          <w:rFonts w:hint="eastAsia"/>
          <w:color w:val="000000"/>
          <w:sz w:val="32"/>
        </w:rPr>
      </w:pPr>
      <w:r>
        <w:rPr>
          <w:rFonts w:hint="eastAsia"/>
          <w:color w:val="000000"/>
          <w:sz w:val="32"/>
        </w:rPr>
        <w:t>收款账号：717279440516</w:t>
      </w:r>
    </w:p>
    <w:p w14:paraId="2838C75A">
      <w:pPr>
        <w:spacing w:line="500" w:lineRule="exact"/>
        <w:ind w:left="640"/>
        <w:rPr>
          <w:rFonts w:hint="eastAsia" w:eastAsia="宋体"/>
          <w:color w:val="000000"/>
          <w:sz w:val="32"/>
          <w:lang w:val="en-US" w:eastAsia="zh-CN"/>
        </w:rPr>
      </w:pPr>
      <w:r>
        <w:rPr>
          <w:rFonts w:hint="eastAsia"/>
          <w:color w:val="000000"/>
          <w:sz w:val="32"/>
        </w:rPr>
        <w:t>开户行：中国银行云浮新兴科技园支行</w:t>
      </w:r>
    </w:p>
    <w:p w14:paraId="60AD25A7">
      <w:pPr>
        <w:numPr>
          <w:ilvl w:val="0"/>
          <w:numId w:val="3"/>
        </w:numPr>
        <w:spacing w:line="500" w:lineRule="exact"/>
        <w:ind w:firstLine="640"/>
        <w:rPr>
          <w:rFonts w:hint="eastAsia"/>
          <w:color w:val="000000"/>
          <w:sz w:val="32"/>
        </w:rPr>
      </w:pPr>
      <w:r>
        <w:rPr>
          <w:rFonts w:hint="eastAsia"/>
          <w:color w:val="FF0000"/>
          <w:sz w:val="32"/>
        </w:rPr>
        <w:t>参与投标的供应商请提前在温氏股份招标平台注册并完善公司资质等资料，具体根据平台要求完善供应商信息。平台系统将根据供应商的资料和上传的资质扫描件审核</w:t>
      </w:r>
      <w:r>
        <w:rPr>
          <w:rFonts w:hint="eastAsia"/>
          <w:color w:val="FF0000"/>
          <w:sz w:val="32"/>
          <w:lang w:val="en-US" w:eastAsia="zh-CN"/>
        </w:rPr>
        <w:t>是否合格</w:t>
      </w:r>
      <w:r>
        <w:rPr>
          <w:rFonts w:hint="eastAsia"/>
          <w:color w:val="FF0000"/>
          <w:sz w:val="32"/>
        </w:rPr>
        <w:t>。</w:t>
      </w:r>
    </w:p>
    <w:p w14:paraId="069E190F">
      <w:pPr>
        <w:numPr>
          <w:ilvl w:val="0"/>
          <w:numId w:val="3"/>
        </w:numPr>
        <w:spacing w:line="500" w:lineRule="exact"/>
        <w:ind w:firstLine="640" w:firstLineChars="200"/>
        <w:rPr>
          <w:color w:val="000000"/>
          <w:sz w:val="32"/>
        </w:rPr>
      </w:pPr>
      <w:r>
        <w:rPr>
          <w:rFonts w:hint="eastAsia"/>
          <w:color w:val="000000"/>
          <w:sz w:val="32"/>
        </w:rPr>
        <w:t>中标方需在三个工作日内与招标方</w:t>
      </w:r>
      <w:r>
        <w:rPr>
          <w:rFonts w:hint="eastAsia"/>
          <w:color w:val="000000"/>
          <w:sz w:val="32"/>
          <w:lang w:eastAsia="zh-CN"/>
        </w:rPr>
        <w:t>（</w:t>
      </w:r>
      <w:r>
        <w:rPr>
          <w:rFonts w:hint="eastAsia"/>
          <w:color w:val="000000"/>
          <w:sz w:val="32"/>
          <w:lang w:val="en-US" w:eastAsia="zh-CN"/>
        </w:rPr>
        <w:t>各标段所属分公司</w:t>
      </w:r>
      <w:r>
        <w:rPr>
          <w:rFonts w:hint="eastAsia"/>
          <w:color w:val="000000"/>
          <w:sz w:val="32"/>
          <w:lang w:eastAsia="zh-CN"/>
        </w:rPr>
        <w:t>）</w:t>
      </w:r>
      <w:r>
        <w:rPr>
          <w:rFonts w:hint="eastAsia"/>
          <w:color w:val="000000"/>
          <w:sz w:val="32"/>
        </w:rPr>
        <w:t>签订采购合同，逾期不签订合同的视为弃标，如中标方拒签合同或签订合同后违约，招标方可从其他投标人中重新选定中标单位，并组织签订合同。</w:t>
      </w:r>
    </w:p>
    <w:p w14:paraId="4C360A1A">
      <w:pPr>
        <w:pStyle w:val="11"/>
        <w:spacing w:line="500" w:lineRule="exact"/>
        <w:ind w:firstLine="643" w:firstLineChars="200"/>
        <w:rPr>
          <w:b/>
          <w:color w:val="000000"/>
          <w:sz w:val="32"/>
        </w:rPr>
      </w:pPr>
      <w:r>
        <w:rPr>
          <w:rFonts w:hint="eastAsia"/>
          <w:b/>
          <w:color w:val="000000"/>
          <w:sz w:val="32"/>
        </w:rPr>
        <w:t>七、其他事项：</w:t>
      </w:r>
    </w:p>
    <w:p w14:paraId="504034B7">
      <w:pPr>
        <w:spacing w:line="500" w:lineRule="exact"/>
        <w:ind w:firstLine="630" w:firstLineChars="196"/>
        <w:rPr>
          <w:rFonts w:ascii="宋体" w:hAnsi="宋体"/>
          <w:b/>
          <w:color w:val="000000"/>
          <w:sz w:val="32"/>
        </w:rPr>
      </w:pPr>
      <w:r>
        <w:rPr>
          <w:rFonts w:hint="eastAsia"/>
          <w:b/>
          <w:color w:val="000000"/>
          <w:sz w:val="32"/>
        </w:rPr>
        <w:t>有参与竞投</w:t>
      </w:r>
      <w:r>
        <w:rPr>
          <w:rFonts w:hint="eastAsia" w:ascii="宋体" w:hAnsi="宋体"/>
          <w:b/>
          <w:color w:val="000000"/>
          <w:sz w:val="32"/>
        </w:rPr>
        <w:t>意向者请在报价时间开始前完成注册及报名接受招标邀请，在注册过程遇到问题可打平台的咨询电话（平台显示）或任何相关问题均可联系育种公司招投标小组联系人：</w:t>
      </w:r>
      <w:r>
        <w:rPr>
          <w:rFonts w:hint="eastAsia" w:ascii="宋体" w:hAnsi="宋体"/>
          <w:b/>
          <w:color w:val="000000"/>
          <w:sz w:val="32"/>
          <w:lang w:val="en-US" w:eastAsia="zh-CN"/>
        </w:rPr>
        <w:t>林水英：13711653694、</w:t>
      </w:r>
      <w:r>
        <w:rPr>
          <w:rFonts w:hint="eastAsia" w:ascii="宋体" w:hAnsi="宋体"/>
          <w:b/>
          <w:color w:val="000000"/>
          <w:sz w:val="32"/>
        </w:rPr>
        <w:t>王小飞15018201386、</w:t>
      </w:r>
      <w:r>
        <w:rPr>
          <w:rFonts w:ascii="宋体" w:hAnsi="宋体"/>
          <w:b/>
          <w:color w:val="000000"/>
          <w:sz w:val="32"/>
        </w:rPr>
        <w:t>刘福祥</w:t>
      </w:r>
      <w:r>
        <w:rPr>
          <w:rFonts w:hint="eastAsia" w:ascii="宋体" w:hAnsi="宋体"/>
          <w:b/>
          <w:color w:val="000000"/>
          <w:sz w:val="32"/>
        </w:rPr>
        <w:t>13826713122</w:t>
      </w:r>
      <w:r>
        <w:rPr>
          <w:rFonts w:hint="eastAsia" w:ascii="宋体" w:hAnsi="宋体"/>
          <w:b/>
          <w:color w:val="000000"/>
          <w:sz w:val="32"/>
          <w:lang w:eastAsia="zh-CN"/>
        </w:rPr>
        <w:t>、</w:t>
      </w:r>
      <w:r>
        <w:rPr>
          <w:rFonts w:hint="eastAsia" w:ascii="宋体" w:hAnsi="宋体"/>
          <w:b/>
          <w:color w:val="000000"/>
          <w:sz w:val="32"/>
          <w:lang w:val="en-US" w:eastAsia="zh-CN"/>
        </w:rPr>
        <w:t>李爱明19371145300、梁炜之13600236299</w:t>
      </w:r>
      <w:r>
        <w:rPr>
          <w:rFonts w:ascii="宋体" w:hAnsi="宋体"/>
          <w:b/>
          <w:color w:val="000000"/>
          <w:sz w:val="32"/>
        </w:rPr>
        <w:t>。</w:t>
      </w:r>
    </w:p>
    <w:p w14:paraId="77575162">
      <w:pPr>
        <w:spacing w:line="500" w:lineRule="exact"/>
        <w:ind w:firstLine="630" w:firstLineChars="196"/>
        <w:rPr>
          <w:rFonts w:ascii="宋体" w:hAnsi="宋体"/>
          <w:b/>
          <w:color w:val="000000"/>
          <w:sz w:val="32"/>
        </w:rPr>
      </w:pPr>
    </w:p>
    <w:p w14:paraId="67FA7C66">
      <w:pPr>
        <w:spacing w:line="500" w:lineRule="exact"/>
        <w:ind w:right="321"/>
        <w:jc w:val="right"/>
        <w:rPr>
          <w:b/>
          <w:color w:val="000000"/>
          <w:sz w:val="32"/>
        </w:rPr>
      </w:pPr>
      <w:r>
        <w:rPr>
          <w:rFonts w:hint="eastAsia"/>
          <w:b/>
          <w:color w:val="000000"/>
          <w:sz w:val="32"/>
        </w:rPr>
        <w:t>育种公司招标小组</w:t>
      </w:r>
    </w:p>
    <w:p w14:paraId="1FB25864">
      <w:pPr>
        <w:spacing w:line="500" w:lineRule="exact"/>
        <w:ind w:right="321"/>
        <w:jc w:val="right"/>
        <w:rPr>
          <w:b/>
          <w:color w:val="000000"/>
          <w:sz w:val="24"/>
        </w:rPr>
      </w:pPr>
      <w:r>
        <w:rPr>
          <w:rFonts w:hint="eastAsia"/>
          <w:b/>
          <w:color w:val="000000"/>
          <w:sz w:val="32"/>
        </w:rPr>
        <w:t>202</w:t>
      </w:r>
      <w:r>
        <w:rPr>
          <w:rFonts w:hint="eastAsia"/>
          <w:b/>
          <w:color w:val="000000"/>
          <w:sz w:val="32"/>
          <w:lang w:val="en-US" w:eastAsia="zh-CN"/>
        </w:rPr>
        <w:t>5</w:t>
      </w:r>
      <w:r>
        <w:rPr>
          <w:rFonts w:hint="eastAsia"/>
          <w:b/>
          <w:color w:val="000000"/>
          <w:sz w:val="32"/>
        </w:rPr>
        <w:t>年</w:t>
      </w:r>
      <w:r>
        <w:rPr>
          <w:rFonts w:hint="eastAsia"/>
          <w:b/>
          <w:color w:val="000000"/>
          <w:sz w:val="32"/>
          <w:lang w:val="en-US" w:eastAsia="zh-CN"/>
        </w:rPr>
        <w:t>12</w:t>
      </w:r>
      <w:r>
        <w:rPr>
          <w:rFonts w:hint="eastAsia"/>
          <w:b/>
          <w:color w:val="000000"/>
          <w:sz w:val="32"/>
        </w:rPr>
        <w:t>月</w:t>
      </w:r>
      <w:r>
        <w:rPr>
          <w:rFonts w:hint="eastAsia"/>
          <w:b/>
          <w:color w:val="000000"/>
          <w:sz w:val="32"/>
          <w:lang w:val="en-US" w:eastAsia="zh-CN"/>
        </w:rPr>
        <w:t>15</w:t>
      </w:r>
      <w:r>
        <w:rPr>
          <w:rFonts w:hint="eastAsia"/>
          <w:b/>
          <w:color w:val="000000"/>
          <w:sz w:val="32"/>
        </w:rPr>
        <w:t>日</w:t>
      </w:r>
    </w:p>
    <w:p w14:paraId="2D0C2E85">
      <w:pPr>
        <w:spacing w:line="360" w:lineRule="auto"/>
        <w:rPr>
          <w:rFonts w:ascii="Arial" w:hAnsi="Arial"/>
          <w:color w:val="000000"/>
          <w:sz w:val="32"/>
        </w:rPr>
      </w:pPr>
    </w:p>
    <w:sectPr>
      <w:headerReference r:id="rId3" w:type="default"/>
      <w:pgSz w:w="11906" w:h="16838"/>
      <w:pgMar w:top="851" w:right="1134" w:bottom="851" w:left="113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6C8C9">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lvl>
  </w:abstractNum>
  <w:abstractNum w:abstractNumId="1">
    <w:nsid w:val="00000005"/>
    <w:multiLevelType w:val="singleLevel"/>
    <w:tmpl w:val="00000005"/>
    <w:lvl w:ilvl="0" w:tentative="0">
      <w:start w:val="1"/>
      <w:numFmt w:val="decimal"/>
      <w:suff w:val="nothing"/>
      <w:lvlText w:val="%1、"/>
      <w:lvlJc w:val="left"/>
    </w:lvl>
  </w:abstractNum>
  <w:abstractNum w:abstractNumId="2">
    <w:nsid w:val="3C430B29"/>
    <w:multiLevelType w:val="singleLevel"/>
    <w:tmpl w:val="3C430B29"/>
    <w:lvl w:ilvl="0" w:tentative="0">
      <w:start w:val="2"/>
      <w:numFmt w:val="chineseCounting"/>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795"/>
    <w:rsid w:val="00017BF0"/>
    <w:rsid w:val="00023E5E"/>
    <w:rsid w:val="000437FF"/>
    <w:rsid w:val="0006604B"/>
    <w:rsid w:val="00077CE9"/>
    <w:rsid w:val="00087BAB"/>
    <w:rsid w:val="000A29A7"/>
    <w:rsid w:val="000B3816"/>
    <w:rsid w:val="000E0593"/>
    <w:rsid w:val="000F1120"/>
    <w:rsid w:val="000F315C"/>
    <w:rsid w:val="000F5274"/>
    <w:rsid w:val="000F772A"/>
    <w:rsid w:val="0011195E"/>
    <w:rsid w:val="001400AA"/>
    <w:rsid w:val="00146823"/>
    <w:rsid w:val="00172A27"/>
    <w:rsid w:val="001B5CE2"/>
    <w:rsid w:val="001E358B"/>
    <w:rsid w:val="001F2606"/>
    <w:rsid w:val="002019E2"/>
    <w:rsid w:val="00203482"/>
    <w:rsid w:val="00217322"/>
    <w:rsid w:val="00237155"/>
    <w:rsid w:val="00240C61"/>
    <w:rsid w:val="0026047D"/>
    <w:rsid w:val="00271BF7"/>
    <w:rsid w:val="00282FF0"/>
    <w:rsid w:val="002867F3"/>
    <w:rsid w:val="00294D39"/>
    <w:rsid w:val="002C569D"/>
    <w:rsid w:val="002F2F57"/>
    <w:rsid w:val="00307B85"/>
    <w:rsid w:val="00315115"/>
    <w:rsid w:val="003211C4"/>
    <w:rsid w:val="00332FB9"/>
    <w:rsid w:val="00341048"/>
    <w:rsid w:val="00397B0D"/>
    <w:rsid w:val="003A6D32"/>
    <w:rsid w:val="003D6716"/>
    <w:rsid w:val="003E32CA"/>
    <w:rsid w:val="004014C0"/>
    <w:rsid w:val="00405D16"/>
    <w:rsid w:val="00406F30"/>
    <w:rsid w:val="0041280D"/>
    <w:rsid w:val="004163C6"/>
    <w:rsid w:val="00496CF4"/>
    <w:rsid w:val="004A160E"/>
    <w:rsid w:val="004A7919"/>
    <w:rsid w:val="004B50A3"/>
    <w:rsid w:val="004D2E88"/>
    <w:rsid w:val="004E16F7"/>
    <w:rsid w:val="00531CE0"/>
    <w:rsid w:val="00545F36"/>
    <w:rsid w:val="00557142"/>
    <w:rsid w:val="00561F42"/>
    <w:rsid w:val="005821CE"/>
    <w:rsid w:val="005962DA"/>
    <w:rsid w:val="005B1BAA"/>
    <w:rsid w:val="005D0ECE"/>
    <w:rsid w:val="005D52B5"/>
    <w:rsid w:val="005E765F"/>
    <w:rsid w:val="005F14C2"/>
    <w:rsid w:val="00600A21"/>
    <w:rsid w:val="00611FA7"/>
    <w:rsid w:val="006257D8"/>
    <w:rsid w:val="0063439B"/>
    <w:rsid w:val="006411EE"/>
    <w:rsid w:val="00657801"/>
    <w:rsid w:val="006717AD"/>
    <w:rsid w:val="006D0E33"/>
    <w:rsid w:val="006E2C3C"/>
    <w:rsid w:val="007008F6"/>
    <w:rsid w:val="00726247"/>
    <w:rsid w:val="00733D73"/>
    <w:rsid w:val="00745FAE"/>
    <w:rsid w:val="00763BA1"/>
    <w:rsid w:val="007726E6"/>
    <w:rsid w:val="00772DA8"/>
    <w:rsid w:val="007B477B"/>
    <w:rsid w:val="007D27DE"/>
    <w:rsid w:val="007D5605"/>
    <w:rsid w:val="007E354C"/>
    <w:rsid w:val="007E57CE"/>
    <w:rsid w:val="007F5E36"/>
    <w:rsid w:val="0080449E"/>
    <w:rsid w:val="008329AC"/>
    <w:rsid w:val="00833467"/>
    <w:rsid w:val="00851A00"/>
    <w:rsid w:val="00872C7B"/>
    <w:rsid w:val="008C3035"/>
    <w:rsid w:val="008D5EAC"/>
    <w:rsid w:val="008F009A"/>
    <w:rsid w:val="008F7FD8"/>
    <w:rsid w:val="00935B30"/>
    <w:rsid w:val="00945811"/>
    <w:rsid w:val="00955D8D"/>
    <w:rsid w:val="00983592"/>
    <w:rsid w:val="009B47BD"/>
    <w:rsid w:val="009B7EB5"/>
    <w:rsid w:val="009F0D47"/>
    <w:rsid w:val="00A3235A"/>
    <w:rsid w:val="00A76FED"/>
    <w:rsid w:val="00A80D6A"/>
    <w:rsid w:val="00AA1A62"/>
    <w:rsid w:val="00AB72FC"/>
    <w:rsid w:val="00AE7A54"/>
    <w:rsid w:val="00AF337F"/>
    <w:rsid w:val="00B008A4"/>
    <w:rsid w:val="00B30FE8"/>
    <w:rsid w:val="00B363E3"/>
    <w:rsid w:val="00B44C6F"/>
    <w:rsid w:val="00B54334"/>
    <w:rsid w:val="00B65F4F"/>
    <w:rsid w:val="00B67265"/>
    <w:rsid w:val="00B821F8"/>
    <w:rsid w:val="00C25792"/>
    <w:rsid w:val="00C25821"/>
    <w:rsid w:val="00C35CE9"/>
    <w:rsid w:val="00C43630"/>
    <w:rsid w:val="00C447E8"/>
    <w:rsid w:val="00CA6638"/>
    <w:rsid w:val="00CE0265"/>
    <w:rsid w:val="00CE77E0"/>
    <w:rsid w:val="00CF2B3A"/>
    <w:rsid w:val="00D12D86"/>
    <w:rsid w:val="00D24283"/>
    <w:rsid w:val="00D57224"/>
    <w:rsid w:val="00D803FE"/>
    <w:rsid w:val="00D93E99"/>
    <w:rsid w:val="00D95D8D"/>
    <w:rsid w:val="00DA6B8F"/>
    <w:rsid w:val="00DC6916"/>
    <w:rsid w:val="00DD3AF7"/>
    <w:rsid w:val="00E3470B"/>
    <w:rsid w:val="00EB36A3"/>
    <w:rsid w:val="00ED0A72"/>
    <w:rsid w:val="00ED5CB3"/>
    <w:rsid w:val="00F02BD9"/>
    <w:rsid w:val="00F0719B"/>
    <w:rsid w:val="00F358DC"/>
    <w:rsid w:val="00F62E44"/>
    <w:rsid w:val="00F66A08"/>
    <w:rsid w:val="00F75A40"/>
    <w:rsid w:val="00F8242A"/>
    <w:rsid w:val="00FB1A69"/>
    <w:rsid w:val="00FD152D"/>
    <w:rsid w:val="01204FE7"/>
    <w:rsid w:val="015D066F"/>
    <w:rsid w:val="01B97764"/>
    <w:rsid w:val="021E5AFC"/>
    <w:rsid w:val="03393105"/>
    <w:rsid w:val="03AA0400"/>
    <w:rsid w:val="0579237E"/>
    <w:rsid w:val="05FA4E5A"/>
    <w:rsid w:val="06A12170"/>
    <w:rsid w:val="06C50397"/>
    <w:rsid w:val="08F96FE5"/>
    <w:rsid w:val="092D4260"/>
    <w:rsid w:val="0AF75D6C"/>
    <w:rsid w:val="0B022403"/>
    <w:rsid w:val="0BFC63F0"/>
    <w:rsid w:val="0C531CD0"/>
    <w:rsid w:val="0C5E49CB"/>
    <w:rsid w:val="0CF672D1"/>
    <w:rsid w:val="0D7534C8"/>
    <w:rsid w:val="0DAC7C6C"/>
    <w:rsid w:val="0DE14439"/>
    <w:rsid w:val="0EDA076B"/>
    <w:rsid w:val="0EE70001"/>
    <w:rsid w:val="0FF24D67"/>
    <w:rsid w:val="10480942"/>
    <w:rsid w:val="11636196"/>
    <w:rsid w:val="11A253A5"/>
    <w:rsid w:val="11EE7D79"/>
    <w:rsid w:val="124D2729"/>
    <w:rsid w:val="139E363D"/>
    <w:rsid w:val="145500A2"/>
    <w:rsid w:val="14B10388"/>
    <w:rsid w:val="14D75C5C"/>
    <w:rsid w:val="15A56342"/>
    <w:rsid w:val="169C38A4"/>
    <w:rsid w:val="19E32408"/>
    <w:rsid w:val="1A316654"/>
    <w:rsid w:val="1A5C7364"/>
    <w:rsid w:val="1A6E76E0"/>
    <w:rsid w:val="1A700442"/>
    <w:rsid w:val="1AB27B44"/>
    <w:rsid w:val="1AB42E79"/>
    <w:rsid w:val="1C2A78F2"/>
    <w:rsid w:val="1D350989"/>
    <w:rsid w:val="1D5752B2"/>
    <w:rsid w:val="1E711E61"/>
    <w:rsid w:val="1EB73055"/>
    <w:rsid w:val="1ED0240F"/>
    <w:rsid w:val="1F0926FA"/>
    <w:rsid w:val="2003149B"/>
    <w:rsid w:val="207F49AA"/>
    <w:rsid w:val="20C106BB"/>
    <w:rsid w:val="20DA0112"/>
    <w:rsid w:val="211A1F14"/>
    <w:rsid w:val="222D671F"/>
    <w:rsid w:val="224D70E9"/>
    <w:rsid w:val="22A94284"/>
    <w:rsid w:val="238910E7"/>
    <w:rsid w:val="23960C22"/>
    <w:rsid w:val="23C83E29"/>
    <w:rsid w:val="241E6ECF"/>
    <w:rsid w:val="246F27F5"/>
    <w:rsid w:val="24EC06E6"/>
    <w:rsid w:val="24FE4DE1"/>
    <w:rsid w:val="253B56CE"/>
    <w:rsid w:val="25473008"/>
    <w:rsid w:val="2547613F"/>
    <w:rsid w:val="25646320"/>
    <w:rsid w:val="269F78F4"/>
    <w:rsid w:val="28711E7E"/>
    <w:rsid w:val="2871661E"/>
    <w:rsid w:val="28FF0301"/>
    <w:rsid w:val="294C32E2"/>
    <w:rsid w:val="2A2158AB"/>
    <w:rsid w:val="2A75631F"/>
    <w:rsid w:val="2B356014"/>
    <w:rsid w:val="2BC511DE"/>
    <w:rsid w:val="2C363DD6"/>
    <w:rsid w:val="2D716961"/>
    <w:rsid w:val="2D7711A5"/>
    <w:rsid w:val="2D834DF9"/>
    <w:rsid w:val="2D986F2F"/>
    <w:rsid w:val="2E1A1CB3"/>
    <w:rsid w:val="2E2864C8"/>
    <w:rsid w:val="2E4B0AF6"/>
    <w:rsid w:val="2F9238C5"/>
    <w:rsid w:val="2F92601C"/>
    <w:rsid w:val="3100218A"/>
    <w:rsid w:val="31144E94"/>
    <w:rsid w:val="313553C8"/>
    <w:rsid w:val="322E3D47"/>
    <w:rsid w:val="32925305"/>
    <w:rsid w:val="34226DBF"/>
    <w:rsid w:val="35B43C28"/>
    <w:rsid w:val="35F27A51"/>
    <w:rsid w:val="361231BE"/>
    <w:rsid w:val="37377727"/>
    <w:rsid w:val="3744384B"/>
    <w:rsid w:val="37FC5ED4"/>
    <w:rsid w:val="386A108F"/>
    <w:rsid w:val="38750A6B"/>
    <w:rsid w:val="39D26F6B"/>
    <w:rsid w:val="39D646AB"/>
    <w:rsid w:val="3A170E57"/>
    <w:rsid w:val="3ACF6028"/>
    <w:rsid w:val="3B945335"/>
    <w:rsid w:val="3C8903DE"/>
    <w:rsid w:val="3C900D9A"/>
    <w:rsid w:val="3CB0715C"/>
    <w:rsid w:val="3D795D16"/>
    <w:rsid w:val="3D9C6EA5"/>
    <w:rsid w:val="3D9D62FD"/>
    <w:rsid w:val="3DD155F1"/>
    <w:rsid w:val="3EE85370"/>
    <w:rsid w:val="3F205AEF"/>
    <w:rsid w:val="40442B0E"/>
    <w:rsid w:val="40C15F0C"/>
    <w:rsid w:val="41195D48"/>
    <w:rsid w:val="41C42BF4"/>
    <w:rsid w:val="44752F60"/>
    <w:rsid w:val="463236F2"/>
    <w:rsid w:val="4A6D602B"/>
    <w:rsid w:val="4BE41090"/>
    <w:rsid w:val="4C1C049B"/>
    <w:rsid w:val="4D0C3A09"/>
    <w:rsid w:val="4D212209"/>
    <w:rsid w:val="4DDE46CE"/>
    <w:rsid w:val="4F371F04"/>
    <w:rsid w:val="4F707972"/>
    <w:rsid w:val="50615016"/>
    <w:rsid w:val="50AA5AE5"/>
    <w:rsid w:val="53831ED1"/>
    <w:rsid w:val="53E616C2"/>
    <w:rsid w:val="53F56832"/>
    <w:rsid w:val="54214905"/>
    <w:rsid w:val="548645C0"/>
    <w:rsid w:val="54D73AF9"/>
    <w:rsid w:val="551A2D91"/>
    <w:rsid w:val="55ED7906"/>
    <w:rsid w:val="56133180"/>
    <w:rsid w:val="57130898"/>
    <w:rsid w:val="5927555A"/>
    <w:rsid w:val="59342D33"/>
    <w:rsid w:val="5B3D222F"/>
    <w:rsid w:val="5B5E1614"/>
    <w:rsid w:val="5C5314F6"/>
    <w:rsid w:val="5D162CB2"/>
    <w:rsid w:val="5D902A97"/>
    <w:rsid w:val="5F6441DB"/>
    <w:rsid w:val="603F0504"/>
    <w:rsid w:val="63612F0B"/>
    <w:rsid w:val="64355278"/>
    <w:rsid w:val="64412E79"/>
    <w:rsid w:val="646A3106"/>
    <w:rsid w:val="65387C9C"/>
    <w:rsid w:val="65B243E4"/>
    <w:rsid w:val="66315729"/>
    <w:rsid w:val="66C877B0"/>
    <w:rsid w:val="67203A89"/>
    <w:rsid w:val="679171F9"/>
    <w:rsid w:val="686E3A17"/>
    <w:rsid w:val="688C777F"/>
    <w:rsid w:val="69043601"/>
    <w:rsid w:val="691F4FA3"/>
    <w:rsid w:val="69B31FE7"/>
    <w:rsid w:val="69CD0CB1"/>
    <w:rsid w:val="6A083FDA"/>
    <w:rsid w:val="6A9844C1"/>
    <w:rsid w:val="6B865B1A"/>
    <w:rsid w:val="6C5E67EE"/>
    <w:rsid w:val="6C642F64"/>
    <w:rsid w:val="6E9006FC"/>
    <w:rsid w:val="6E9A5102"/>
    <w:rsid w:val="6EA55017"/>
    <w:rsid w:val="6ED21107"/>
    <w:rsid w:val="704148F0"/>
    <w:rsid w:val="719721EE"/>
    <w:rsid w:val="71B07CD9"/>
    <w:rsid w:val="726E3582"/>
    <w:rsid w:val="73115E7C"/>
    <w:rsid w:val="73530396"/>
    <w:rsid w:val="736A210D"/>
    <w:rsid w:val="73DA4E48"/>
    <w:rsid w:val="75E464A4"/>
    <w:rsid w:val="75EE5540"/>
    <w:rsid w:val="767B010A"/>
    <w:rsid w:val="767C4F1A"/>
    <w:rsid w:val="76A806BB"/>
    <w:rsid w:val="76C515AB"/>
    <w:rsid w:val="77260604"/>
    <w:rsid w:val="77AC46E5"/>
    <w:rsid w:val="791D066A"/>
    <w:rsid w:val="79507426"/>
    <w:rsid w:val="7AD73BB3"/>
    <w:rsid w:val="7CF14EA8"/>
    <w:rsid w:val="7E260B81"/>
    <w:rsid w:val="7E520D2F"/>
    <w:rsid w:val="7EE10F4C"/>
    <w:rsid w:val="7F033168"/>
    <w:rsid w:val="7F5E7584"/>
    <w:rsid w:val="7F764D90"/>
    <w:rsid w:val="7FB8479B"/>
    <w:rsid w:val="7FE50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qFormat/>
    <w:uiPriority w:val="0"/>
    <w:pPr>
      <w:ind w:left="100" w:leftChars="2500"/>
    </w:pPr>
  </w:style>
  <w:style w:type="paragraph" w:styleId="3">
    <w:name w:val="Balloon Text"/>
    <w:basedOn w:val="1"/>
    <w:link w:val="12"/>
    <w:semiHidden/>
    <w:unhideWhenUsed/>
    <w:qFormat/>
    <w:uiPriority w:val="99"/>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rPr>
  </w:style>
  <w:style w:type="paragraph" w:styleId="6">
    <w:name w:val="Normal (Web)"/>
    <w:basedOn w:val="1"/>
    <w:qFormat/>
    <w:uiPriority w:val="0"/>
    <w:pPr>
      <w:widowControl/>
      <w:spacing w:before="100" w:beforeAutospacing="1" w:after="100" w:afterAutospacing="1"/>
      <w:jc w:val="left"/>
    </w:pPr>
    <w:rPr>
      <w:rFonts w:ascii="宋体" w:hAnsi="宋体"/>
      <w:kern w:val="0"/>
      <w:sz w:val="24"/>
    </w:rPr>
  </w:style>
  <w:style w:type="character" w:styleId="9">
    <w:name w:val="Hyperlink"/>
    <w:qFormat/>
    <w:uiPriority w:val="0"/>
    <w:rPr>
      <w:rFonts w:hint="default" w:ascii="Helvetica" w:hAnsi="Helvetica"/>
      <w:color w:val="000000"/>
      <w:sz w:val="18"/>
      <w:u w:val="single"/>
    </w:rPr>
  </w:style>
  <w:style w:type="paragraph" w:customStyle="1" w:styleId="10">
    <w:name w:val="正文 + 宋体"/>
    <w:basedOn w:val="1"/>
    <w:qFormat/>
    <w:uiPriority w:val="0"/>
    <w:rPr>
      <w:rFonts w:ascii="宋体" w:hAnsi="宋体"/>
      <w:sz w:val="24"/>
    </w:rPr>
  </w:style>
  <w:style w:type="paragraph" w:customStyle="1" w:styleId="11">
    <w:name w:val="正文 + 小四"/>
    <w:basedOn w:val="10"/>
    <w:qFormat/>
    <w:uiPriority w:val="0"/>
  </w:style>
  <w:style w:type="character" w:customStyle="1" w:styleId="12">
    <w:name w:val="批注框文本 Char"/>
    <w:basedOn w:val="8"/>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5</Pages>
  <Words>2240</Words>
  <Characters>2470</Characters>
  <Lines>17</Lines>
  <Paragraphs>4</Paragraphs>
  <TotalTime>67</TotalTime>
  <ScaleCrop>false</ScaleCrop>
  <LinksUpToDate>false</LinksUpToDate>
  <CharactersWithSpaces>2524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2019-04-19T03:11:00Z</dcterms:created>
  <dc:creator>微软用户</dc:creator>
  <cp:lastModifiedBy>林水英</cp:lastModifiedBy>
  <cp:lastPrinted>2017-10-09T01:38:00Z</cp:lastPrinted>
  <dcterms:modified xsi:type="dcterms:W3CDTF">2025-12-15T07:30:38Z</dcterms:modified>
  <dc:title>广东温氏佳润食品有限公司</dc:title>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06A02830844547089B3D05D15DB3FB2B</vt:lpwstr>
  </property>
  <property fmtid="{D5CDD505-2E9C-101B-9397-08002B2CF9AE}" pid="4" name="KSOTemplateDocerSaveRecord">
    <vt:lpwstr>eyJoZGlkIjoiMGNiN2QxZmYwZjJlZjdlYTQwMWUzZjA5Yjc5MDdjYWEiLCJ1c2VySWQiOiIxNjIxOTUxODA2In0=</vt:lpwstr>
  </property>
</Properties>
</file>