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56A4B">
      <w:pPr>
        <w:pStyle w:val="2"/>
        <w:spacing w:line="1262" w:lineRule="exact"/>
        <w:ind w:left="0" w:leftChars="0" w:firstLine="0" w:firstLineChars="0"/>
        <w:jc w:val="both"/>
      </w:pPr>
      <w:r>
        <w:rPr>
          <w:rFonts w:hint="eastAsia" w:eastAsia="宋体"/>
          <w:lang w:val="en-US" w:eastAsia="zh-CN"/>
        </w:rPr>
        <w:t xml:space="preserve">                        </w:t>
      </w:r>
      <w:r>
        <w:drawing>
          <wp:inline distT="0" distB="0" distL="114300" distR="114300">
            <wp:extent cx="646430" cy="431800"/>
            <wp:effectExtent l="0" t="0" r="127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46430" cy="431800"/>
                    </a:xfrm>
                    <a:prstGeom prst="rect">
                      <a:avLst/>
                    </a:prstGeom>
                  </pic:spPr>
                </pic:pic>
              </a:graphicData>
            </a:graphic>
          </wp:inline>
        </w:drawing>
      </w:r>
    </w:p>
    <w:p w14:paraId="718EA90E">
      <w:pPr>
        <w:pStyle w:val="2"/>
        <w:spacing w:line="1262" w:lineRule="exact"/>
        <w:ind w:firstLine="1041" w:firstLineChars="200"/>
        <w:jc w:val="left"/>
        <w:rPr>
          <w:sz w:val="52"/>
          <w:szCs w:val="52"/>
        </w:rPr>
      </w:pPr>
      <w:r>
        <w:rPr>
          <w:sz w:val="52"/>
          <w:szCs w:val="52"/>
        </w:rPr>
        <w:t>温氏食品集团股份有限公司</w:t>
      </w:r>
    </w:p>
    <w:p w14:paraId="0348FC37">
      <w:pPr>
        <w:pStyle w:val="6"/>
        <w:spacing w:before="16"/>
        <w:ind w:left="0"/>
        <w:rPr>
          <w:rFonts w:ascii="Microsoft JhengHei"/>
          <w:b/>
          <w:sz w:val="105"/>
        </w:rPr>
      </w:pPr>
    </w:p>
    <w:p w14:paraId="544ED9B1">
      <w:pPr>
        <w:spacing w:before="0"/>
        <w:ind w:left="3732" w:right="3438" w:firstLine="0"/>
        <w:jc w:val="center"/>
        <w:rPr>
          <w:rFonts w:hint="eastAsia" w:ascii="Microsoft JhengHei" w:eastAsia="Microsoft JhengHei"/>
          <w:b/>
          <w:sz w:val="52"/>
          <w:szCs w:val="52"/>
        </w:rPr>
      </w:pPr>
      <w:r>
        <w:rPr>
          <w:rFonts w:hint="eastAsia" w:ascii="Microsoft JhengHei" w:eastAsia="Microsoft JhengHei"/>
          <w:b/>
          <w:sz w:val="52"/>
          <w:szCs w:val="52"/>
        </w:rPr>
        <w:t>招</w:t>
      </w:r>
    </w:p>
    <w:p w14:paraId="1C8F9E42">
      <w:pPr>
        <w:spacing w:before="0"/>
        <w:ind w:left="3732" w:right="3438" w:firstLine="0"/>
        <w:jc w:val="center"/>
        <w:rPr>
          <w:rFonts w:hint="eastAsia" w:ascii="Microsoft JhengHei" w:eastAsia="Microsoft JhengHei"/>
          <w:b/>
          <w:sz w:val="52"/>
          <w:szCs w:val="52"/>
        </w:rPr>
      </w:pPr>
      <w:r>
        <w:rPr>
          <w:rFonts w:hint="eastAsia" w:ascii="Microsoft JhengHei" w:eastAsia="Microsoft JhengHei"/>
          <w:b/>
          <w:sz w:val="52"/>
          <w:szCs w:val="52"/>
        </w:rPr>
        <w:t>标</w:t>
      </w:r>
    </w:p>
    <w:p w14:paraId="1B26E529">
      <w:pPr>
        <w:spacing w:before="0"/>
        <w:ind w:left="3732" w:right="3438" w:firstLine="0"/>
        <w:jc w:val="center"/>
        <w:rPr>
          <w:rFonts w:hint="eastAsia" w:ascii="Microsoft JhengHei" w:eastAsia="Microsoft JhengHei"/>
          <w:b/>
          <w:sz w:val="52"/>
          <w:szCs w:val="52"/>
        </w:rPr>
      </w:pPr>
      <w:r>
        <w:rPr>
          <w:rFonts w:hint="eastAsia" w:ascii="Microsoft JhengHei" w:eastAsia="Microsoft JhengHei"/>
          <w:b/>
          <w:sz w:val="52"/>
          <w:szCs w:val="52"/>
        </w:rPr>
        <w:t>文</w:t>
      </w:r>
    </w:p>
    <w:p w14:paraId="4CACA341">
      <w:pPr>
        <w:spacing w:before="0"/>
        <w:ind w:left="3732" w:right="3438" w:firstLine="0"/>
        <w:jc w:val="center"/>
        <w:rPr>
          <w:rFonts w:hint="eastAsia" w:ascii="Microsoft JhengHei" w:eastAsia="Microsoft JhengHei"/>
          <w:b/>
          <w:sz w:val="52"/>
          <w:szCs w:val="52"/>
        </w:rPr>
      </w:pPr>
      <w:r>
        <w:rPr>
          <w:rFonts w:hint="eastAsia" w:ascii="Microsoft JhengHei" w:eastAsia="Microsoft JhengHei"/>
          <w:b/>
          <w:sz w:val="52"/>
          <w:szCs w:val="52"/>
        </w:rPr>
        <w:t>件</w:t>
      </w:r>
    </w:p>
    <w:p w14:paraId="284E1636">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Microsoft JhengHei" w:eastAsia="宋体"/>
          <w:b/>
          <w:color w:val="FF0000"/>
          <w:sz w:val="24"/>
          <w:szCs w:val="24"/>
          <w:lang w:eastAsia="zh-CN"/>
        </w:rPr>
      </w:pPr>
      <w:r>
        <w:rPr>
          <w:rFonts w:hint="eastAsia" w:ascii="Microsoft JhengHei"/>
          <w:b/>
          <w:color w:val="FF0000"/>
          <w:sz w:val="24"/>
          <w:szCs w:val="24"/>
          <w:lang w:eastAsia="zh-CN"/>
        </w:rPr>
        <w:t>（</w:t>
      </w:r>
      <w:r>
        <w:rPr>
          <w:rFonts w:hint="eastAsia" w:ascii="Microsoft JhengHei"/>
          <w:b/>
          <w:color w:val="FF0000"/>
          <w:sz w:val="24"/>
          <w:szCs w:val="24"/>
          <w:lang w:val="en-US" w:eastAsia="zh-CN"/>
        </w:rPr>
        <w:t>各招标单位根据实际情况修改部分内容</w:t>
      </w:r>
      <w:r>
        <w:rPr>
          <w:rFonts w:hint="eastAsia" w:ascii="Microsoft JhengHei"/>
          <w:b/>
          <w:color w:val="FF0000"/>
          <w:sz w:val="24"/>
          <w:szCs w:val="24"/>
          <w:lang w:eastAsia="zh-CN"/>
        </w:rPr>
        <w:t>）</w:t>
      </w:r>
    </w:p>
    <w:p w14:paraId="14F5D3C9">
      <w:pPr>
        <w:spacing w:before="0"/>
        <w:ind w:left="3732" w:right="3438" w:firstLine="0"/>
        <w:jc w:val="center"/>
        <w:rPr>
          <w:rFonts w:hint="eastAsia" w:ascii="Microsoft JhengHei" w:eastAsia="Microsoft JhengHei"/>
          <w:b/>
          <w:sz w:val="52"/>
          <w:szCs w:val="52"/>
        </w:rPr>
      </w:pPr>
    </w:p>
    <w:p w14:paraId="02072FA1">
      <w:pPr>
        <w:spacing w:before="0"/>
        <w:ind w:left="3732" w:right="3438" w:firstLine="0"/>
        <w:jc w:val="center"/>
        <w:rPr>
          <w:rFonts w:hint="eastAsia" w:ascii="Microsoft JhengHei" w:eastAsia="Microsoft JhengHei"/>
          <w:b/>
          <w:sz w:val="52"/>
          <w:szCs w:val="52"/>
        </w:rPr>
      </w:pPr>
    </w:p>
    <w:p w14:paraId="7291AEEC">
      <w:pPr>
        <w:spacing w:before="0"/>
        <w:ind w:left="3732" w:right="3438" w:firstLine="0"/>
        <w:jc w:val="center"/>
        <w:rPr>
          <w:rFonts w:hint="eastAsia" w:ascii="Microsoft JhengHei" w:eastAsia="Microsoft JhengHei"/>
          <w:b/>
          <w:sz w:val="52"/>
          <w:szCs w:val="52"/>
        </w:rPr>
      </w:pPr>
    </w:p>
    <w:p w14:paraId="04D72814">
      <w:pPr>
        <w:widowControl w:val="0"/>
        <w:autoSpaceDE w:val="0"/>
        <w:autoSpaceDN w:val="0"/>
        <w:spacing w:line="332" w:lineRule="exact"/>
        <w:rPr>
          <w:rFonts w:ascii="仿宋" w:hAnsi="仿宋" w:cs="仿宋"/>
          <w:color w:val="000000"/>
          <w:sz w:val="32"/>
          <w:szCs w:val="22"/>
          <w:lang w:val="en-US" w:eastAsia="en-US" w:bidi="ar-SA"/>
        </w:rPr>
      </w:pPr>
      <w:r>
        <w:rPr>
          <w:rFonts w:ascii="仿宋" w:hAnsi="仿宋" w:cs="仿宋"/>
          <w:color w:val="000000"/>
          <w:sz w:val="32"/>
          <w:szCs w:val="22"/>
          <w:lang w:val="en-US" w:eastAsia="en-US" w:bidi="ar-SA"/>
        </w:rPr>
        <w:t>招标项目名称：</w:t>
      </w:r>
      <w:r>
        <w:rPr>
          <w:rFonts w:hint="eastAsia" w:ascii="TTMPAH+TimesNewRomanPSMT" w:hAnsi="Calibri"/>
          <w:color w:val="000000"/>
          <w:sz w:val="32"/>
          <w:szCs w:val="22"/>
          <w:u w:val="single"/>
          <w:lang w:val="en-US" w:eastAsia="zh-CN" w:bidi="ar-SA"/>
        </w:rPr>
        <w:t>曲靖市沾益区</w:t>
      </w:r>
      <w:r>
        <w:rPr>
          <w:rFonts w:hint="eastAsia" w:ascii="TTMPAH+TimesNewRomanPSMT" w:hAnsi="Calibri"/>
          <w:color w:val="000000"/>
          <w:sz w:val="32"/>
          <w:szCs w:val="22"/>
          <w:u w:val="single"/>
          <w:lang w:val="en-US" w:eastAsia="en-US" w:bidi="ar-SA"/>
        </w:rPr>
        <w:t>温氏畜牧有限公司猪苗及种猪运输招标</w:t>
      </w:r>
    </w:p>
    <w:p w14:paraId="5CCC86A4">
      <w:pPr>
        <w:widowControl w:val="0"/>
        <w:autoSpaceDE w:val="0"/>
        <w:autoSpaceDN w:val="0"/>
        <w:spacing w:line="332" w:lineRule="exact"/>
        <w:rPr>
          <w:rFonts w:hint="eastAsia" w:ascii="仿宋" w:hAnsi="仿宋" w:cs="仿宋"/>
          <w:color w:val="000000"/>
          <w:sz w:val="32"/>
          <w:szCs w:val="22"/>
          <w:lang w:val="en-US" w:eastAsia="zh-CN" w:bidi="ar-SA"/>
        </w:rPr>
      </w:pPr>
    </w:p>
    <w:p w14:paraId="395BB3C4">
      <w:pPr>
        <w:widowControl w:val="0"/>
        <w:autoSpaceDE w:val="0"/>
        <w:autoSpaceDN w:val="0"/>
        <w:spacing w:line="332" w:lineRule="exact"/>
        <w:rPr>
          <w:rFonts w:hint="eastAsia" w:ascii="仿宋" w:hAnsi="仿宋" w:cs="仿宋"/>
          <w:color w:val="000000"/>
          <w:sz w:val="32"/>
          <w:szCs w:val="22"/>
          <w:lang w:val="en-US" w:eastAsia="zh-CN" w:bidi="ar-SA"/>
        </w:rPr>
      </w:pPr>
      <w:r>
        <w:rPr>
          <w:rFonts w:hint="eastAsia" w:ascii="仿宋" w:hAnsi="仿宋" w:cs="仿宋"/>
          <w:color w:val="000000"/>
          <w:sz w:val="32"/>
          <w:szCs w:val="22"/>
          <w:lang w:val="en-US" w:eastAsia="zh-CN" w:bidi="ar-SA"/>
        </w:rPr>
        <w:t>招标人：曲靖市沾益区温氏畜牧有限公司</w:t>
      </w:r>
    </w:p>
    <w:p w14:paraId="4B6D4EEE">
      <w:pPr>
        <w:widowControl w:val="0"/>
        <w:autoSpaceDE w:val="0"/>
        <w:autoSpaceDN w:val="0"/>
        <w:spacing w:line="332" w:lineRule="exact"/>
        <w:rPr>
          <w:rFonts w:hint="default" w:ascii="仿宋" w:hAnsi="仿宋" w:cs="仿宋"/>
          <w:color w:val="000000"/>
          <w:sz w:val="32"/>
          <w:szCs w:val="22"/>
          <w:lang w:val="en-US" w:eastAsia="zh-CN" w:bidi="ar-SA"/>
        </w:rPr>
      </w:pPr>
    </w:p>
    <w:p w14:paraId="66536FB0">
      <w:pPr>
        <w:widowControl w:val="0"/>
        <w:autoSpaceDE w:val="0"/>
        <w:autoSpaceDN w:val="0"/>
        <w:spacing w:line="319" w:lineRule="exact"/>
        <w:rPr>
          <w:rFonts w:ascii="仿宋" w:hAnsi="仿宋" w:cs="仿宋"/>
          <w:color w:val="000000"/>
          <w:sz w:val="32"/>
          <w:szCs w:val="22"/>
          <w:lang w:val="en-US" w:eastAsia="en-US" w:bidi="ar-SA"/>
        </w:rPr>
      </w:pPr>
      <w:r>
        <w:rPr>
          <w:rFonts w:ascii="仿宋" w:hAnsi="仿宋" w:cs="仿宋"/>
          <w:color w:val="000000"/>
          <w:sz w:val="32"/>
          <w:szCs w:val="22"/>
          <w:lang w:val="en-US" w:eastAsia="en-US" w:bidi="ar-SA"/>
        </w:rPr>
        <w:t>招标组织单位：</w:t>
      </w:r>
      <w:r>
        <w:rPr>
          <w:rFonts w:hint="eastAsia" w:ascii="仿宋" w:hAnsi="仿宋" w:cs="仿宋"/>
          <w:color w:val="000000"/>
          <w:sz w:val="32"/>
          <w:szCs w:val="22"/>
          <w:lang w:val="en-US" w:eastAsia="zh-CN" w:bidi="ar-SA"/>
        </w:rPr>
        <w:t>曲靖市沾益区温氏畜牧有限公司</w:t>
      </w:r>
    </w:p>
    <w:p w14:paraId="0A61B4E1">
      <w:pPr>
        <w:widowControl w:val="0"/>
        <w:autoSpaceDE w:val="0"/>
        <w:autoSpaceDN w:val="0"/>
        <w:spacing w:line="319" w:lineRule="exact"/>
        <w:rPr>
          <w:rFonts w:ascii="仿宋" w:hAnsi="仿宋" w:cs="仿宋"/>
          <w:color w:val="000000"/>
          <w:sz w:val="32"/>
          <w:szCs w:val="22"/>
          <w:lang w:val="en-US" w:eastAsia="en-US" w:bidi="ar-SA"/>
        </w:rPr>
      </w:pPr>
    </w:p>
    <w:p w14:paraId="447FCC06">
      <w:pPr>
        <w:widowControl w:val="0"/>
        <w:autoSpaceDE w:val="0"/>
        <w:autoSpaceDN w:val="0"/>
        <w:spacing w:line="332" w:lineRule="exact"/>
        <w:rPr>
          <w:rFonts w:hint="default" w:hAnsi="Calibri" w:eastAsia="宋体"/>
          <w:color w:val="000000"/>
          <w:sz w:val="32"/>
          <w:szCs w:val="22"/>
          <w:lang w:val="en-US" w:eastAsia="zh-CN" w:bidi="ar-SA"/>
        </w:rPr>
      </w:pPr>
      <w:r>
        <w:rPr>
          <w:rFonts w:ascii="仿宋" w:hAnsi="仿宋" w:cs="仿宋"/>
          <w:color w:val="000000"/>
          <w:sz w:val="32"/>
          <w:szCs w:val="22"/>
          <w:lang w:val="en-US" w:eastAsia="en-US" w:bidi="ar-SA"/>
        </w:rPr>
        <w:t>招标编号：</w:t>
      </w:r>
      <w:r>
        <w:rPr>
          <w:rFonts w:hint="eastAsia" w:ascii="宋体" w:hAnsi="宋体" w:eastAsia="宋体" w:cs="宋体"/>
          <w:color w:val="000000"/>
          <w:spacing w:val="-2"/>
          <w:sz w:val="32"/>
          <w:szCs w:val="22"/>
          <w:highlight w:val="yellow"/>
          <w:u w:val="single"/>
          <w:lang w:val="en-US" w:eastAsia="en-US" w:bidi="ar-SA"/>
        </w:rPr>
        <w:t>WS</w:t>
      </w:r>
      <w:r>
        <w:rPr>
          <w:rFonts w:hint="eastAsia" w:cs="宋体"/>
          <w:color w:val="000000"/>
          <w:spacing w:val="-2"/>
          <w:sz w:val="32"/>
          <w:szCs w:val="22"/>
          <w:highlight w:val="yellow"/>
          <w:u w:val="single"/>
          <w:lang w:val="en-US" w:eastAsia="zh-CN" w:bidi="ar-SA"/>
        </w:rPr>
        <w:t>ZY</w:t>
      </w:r>
      <w:r>
        <w:rPr>
          <w:rFonts w:hint="eastAsia" w:ascii="宋体" w:hAnsi="宋体" w:eastAsia="宋体" w:cs="宋体"/>
          <w:color w:val="000000"/>
          <w:spacing w:val="-2"/>
          <w:sz w:val="32"/>
          <w:szCs w:val="22"/>
          <w:highlight w:val="yellow"/>
          <w:u w:val="single"/>
          <w:lang w:val="en-US" w:eastAsia="en-US" w:bidi="ar-SA"/>
        </w:rPr>
        <w:t>ZMYS2024</w:t>
      </w:r>
      <w:r>
        <w:rPr>
          <w:rFonts w:hint="eastAsia" w:cs="宋体"/>
          <w:color w:val="000000"/>
          <w:spacing w:val="-2"/>
          <w:sz w:val="32"/>
          <w:szCs w:val="22"/>
          <w:highlight w:val="yellow"/>
          <w:u w:val="single"/>
          <w:lang w:val="en-US" w:eastAsia="zh-CN" w:bidi="ar-SA"/>
        </w:rPr>
        <w:t>1217</w:t>
      </w:r>
    </w:p>
    <w:p w14:paraId="2FD40D31">
      <w:pPr>
        <w:spacing w:before="0"/>
        <w:ind w:right="3438"/>
        <w:jc w:val="both"/>
        <w:rPr>
          <w:rFonts w:hint="eastAsia" w:ascii="Microsoft JhengHei" w:eastAsia="Microsoft JhengHei"/>
          <w:b/>
          <w:sz w:val="52"/>
          <w:szCs w:val="52"/>
        </w:rPr>
      </w:pPr>
    </w:p>
    <w:p w14:paraId="324805A1">
      <w:pPr>
        <w:tabs>
          <w:tab w:val="left" w:pos="4316"/>
        </w:tabs>
        <w:spacing w:before="0" w:line="563" w:lineRule="exact"/>
        <w:ind w:right="0" w:firstLine="880" w:firstLineChars="400"/>
        <w:jc w:val="left"/>
        <w:rPr>
          <w:rFonts w:hint="eastAsia" w:ascii="仿宋_GB2312" w:hAnsi="仿宋_GB2312" w:eastAsia="仿宋_GB2312" w:cs="仿宋_GB2312"/>
          <w:b/>
          <w:sz w:val="44"/>
          <w:szCs w:val="44"/>
        </w:rPr>
      </w:pPr>
      <w:r>
        <w:drawing>
          <wp:anchor distT="0" distB="0" distL="114300" distR="114300" simplePos="0" relativeHeight="251659264" behindDoc="0" locked="0" layoutInCell="1" allowOverlap="1">
            <wp:simplePos x="0" y="0"/>
            <wp:positionH relativeFrom="column">
              <wp:posOffset>5601335</wp:posOffset>
            </wp:positionH>
            <wp:positionV relativeFrom="paragraph">
              <wp:posOffset>-598170</wp:posOffset>
            </wp:positionV>
            <wp:extent cx="646430" cy="431800"/>
            <wp:effectExtent l="0" t="0" r="1270" b="6350"/>
            <wp:wrapSquare wrapText="bothSides"/>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46430" cy="431800"/>
                    </a:xfrm>
                    <a:prstGeom prst="rect">
                      <a:avLst/>
                    </a:prstGeom>
                  </pic:spPr>
                </pic:pic>
              </a:graphicData>
            </a:graphic>
          </wp:anchor>
        </w:drawing>
      </w:r>
      <w:r>
        <w:rPr>
          <w:rFonts w:hint="eastAsia" w:ascii="仿宋_GB2312" w:hAnsi="仿宋_GB2312" w:eastAsia="仿宋_GB2312" w:cs="仿宋_GB2312"/>
          <w:b/>
          <w:sz w:val="44"/>
          <w:szCs w:val="44"/>
        </w:rPr>
        <w:t>第一部分</w:t>
      </w:r>
      <w:r>
        <w:rPr>
          <w:rFonts w:hint="eastAsia" w:ascii="仿宋_GB2312" w:hAnsi="仿宋_GB2312" w:eastAsia="仿宋_GB2312" w:cs="仿宋_GB2312"/>
          <w:b/>
          <w:sz w:val="44"/>
          <w:szCs w:val="44"/>
          <w:lang w:val="en-US" w:eastAsia="zh-CN"/>
        </w:rPr>
        <w:t xml:space="preserve">  </w:t>
      </w:r>
      <w:r>
        <w:rPr>
          <w:rFonts w:hint="eastAsia" w:ascii="仿宋_GB2312" w:hAnsi="仿宋_GB2312" w:eastAsia="仿宋_GB2312" w:cs="仿宋_GB2312"/>
          <w:b/>
          <w:sz w:val="44"/>
          <w:szCs w:val="44"/>
        </w:rPr>
        <w:t>投标项目说明</w:t>
      </w:r>
    </w:p>
    <w:p w14:paraId="1A7CF714">
      <w:pPr>
        <w:spacing w:before="0" w:line="240" w:lineRule="auto"/>
        <w:ind w:left="0" w:right="0" w:firstLine="0"/>
        <w:jc w:val="left"/>
        <w:rPr>
          <w:rFonts w:hint="eastAsia" w:ascii="仿宋_GB2312" w:hAnsi="仿宋_GB2312" w:eastAsia="仿宋_GB2312" w:cs="仿宋_GB2312"/>
          <w:b/>
          <w:sz w:val="30"/>
          <w:szCs w:val="30"/>
          <w:lang w:val="en-US" w:eastAsia="zh-CN"/>
        </w:rPr>
      </w:pPr>
    </w:p>
    <w:p w14:paraId="26FABDCF">
      <w:pPr>
        <w:spacing w:before="0" w:line="240" w:lineRule="auto"/>
        <w:ind w:left="0" w:right="0" w:firstLine="0"/>
        <w:jc w:val="lef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1.</w:t>
      </w:r>
      <w:r>
        <w:rPr>
          <w:rFonts w:hint="eastAsia" w:ascii="仿宋_GB2312" w:hAnsi="仿宋_GB2312" w:eastAsia="仿宋_GB2312" w:cs="仿宋_GB2312"/>
          <w:b/>
          <w:sz w:val="30"/>
          <w:szCs w:val="30"/>
        </w:rPr>
        <w:t>招标人简介</w:t>
      </w:r>
    </w:p>
    <w:p w14:paraId="18D4BC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00" w:firstLineChars="200"/>
        <w:textAlignment w:val="auto"/>
        <w:rPr>
          <w:rFonts w:hint="eastAsia" w:ascii="仿宋_GB2312" w:hAnsi="仿宋_GB2312" w:eastAsia="仿宋_GB2312" w:cs="仿宋_GB2312"/>
          <w:color w:val="000000"/>
          <w:sz w:val="30"/>
          <w:szCs w:val="30"/>
          <w:lang w:val="en-US" w:eastAsia="en-US" w:bidi="ar-SA"/>
        </w:rPr>
      </w:pPr>
      <w:r>
        <w:rPr>
          <w:rFonts w:hint="eastAsia" w:ascii="仿宋_GB2312" w:hAnsi="仿宋_GB2312" w:eastAsia="仿宋_GB2312" w:cs="仿宋_GB2312"/>
          <w:i w:val="0"/>
          <w:iCs w:val="0"/>
          <w:caps w:val="0"/>
          <w:color w:val="333333"/>
          <w:spacing w:val="0"/>
          <w:sz w:val="30"/>
          <w:szCs w:val="30"/>
          <w:lang w:val="en-US" w:eastAsia="zh-CN"/>
        </w:rPr>
        <w:t>曲靖市沾益区温氏畜牧有限公司，成立于2015年，是温氏集团在云南曲靖市投资的3家一体化养猪公司其中之一。总部和饲料厂坐落于云南省曲靖市沾益区沾益工业园区城西片区，占地45亩，饲料厂年产24.5万吨饲料；公司目前在曲靖市沾益区、马龙区两地有2个年度上市仔猪规模20万头的种猪场和1个年上市仔猪规模30万头的种猪场，年上市50万头肉猪</w:t>
      </w:r>
      <w:r>
        <w:rPr>
          <w:rFonts w:hint="eastAsia" w:ascii="仿宋_GB2312" w:hAnsi="仿宋_GB2312" w:eastAsia="仿宋_GB2312" w:cs="仿宋_GB2312"/>
          <w:i w:val="0"/>
          <w:iCs w:val="0"/>
          <w:caps w:val="0"/>
          <w:color w:val="333333"/>
          <w:spacing w:val="0"/>
          <w:sz w:val="30"/>
          <w:szCs w:val="30"/>
        </w:rPr>
        <w:t>。</w:t>
      </w:r>
    </w:p>
    <w:p w14:paraId="08D64BBF">
      <w:pPr>
        <w:numPr>
          <w:ilvl w:val="0"/>
          <w:numId w:val="0"/>
        </w:numPr>
        <w:spacing w:before="0" w:line="240" w:lineRule="auto"/>
        <w:ind w:right="0" w:rightChars="0"/>
        <w:jc w:val="left"/>
        <w:rPr>
          <w:rFonts w:hint="eastAsia" w:ascii="仿宋_GB2312" w:hAnsi="仿宋_GB2312" w:eastAsia="仿宋_GB2312" w:cs="仿宋_GB2312"/>
          <w:b w:val="0"/>
          <w:bCs/>
          <w:sz w:val="30"/>
          <w:szCs w:val="30"/>
          <w:highlight w:val="yellow"/>
          <w:u w:val="single"/>
          <w:lang w:val="en-US" w:eastAsia="zh-CN"/>
        </w:rPr>
      </w:pPr>
      <w:r>
        <w:rPr>
          <w:rFonts w:hint="eastAsia" w:ascii="仿宋_GB2312" w:hAnsi="仿宋_GB2312" w:eastAsia="仿宋_GB2312" w:cs="仿宋_GB2312"/>
          <w:b/>
          <w:sz w:val="30"/>
          <w:szCs w:val="30"/>
          <w:lang w:val="en-US" w:eastAsia="zh-CN"/>
        </w:rPr>
        <w:t>2.</w:t>
      </w:r>
      <w:r>
        <w:rPr>
          <w:rFonts w:hint="eastAsia" w:ascii="仿宋_GB2312" w:hAnsi="仿宋_GB2312" w:eastAsia="仿宋_GB2312" w:cs="仿宋_GB2312"/>
          <w:b/>
          <w:sz w:val="30"/>
          <w:szCs w:val="30"/>
          <w:lang w:eastAsia="zh-CN"/>
        </w:rPr>
        <w:t>招标</w:t>
      </w:r>
      <w:r>
        <w:rPr>
          <w:rFonts w:hint="eastAsia" w:ascii="仿宋_GB2312" w:hAnsi="仿宋_GB2312" w:eastAsia="仿宋_GB2312" w:cs="仿宋_GB2312"/>
          <w:b/>
          <w:sz w:val="30"/>
          <w:szCs w:val="30"/>
          <w:lang w:val="en-US" w:eastAsia="zh-CN"/>
        </w:rPr>
        <w:t>标的执行</w:t>
      </w:r>
      <w:r>
        <w:rPr>
          <w:rFonts w:hint="eastAsia" w:ascii="仿宋_GB2312" w:hAnsi="仿宋_GB2312" w:eastAsia="仿宋_GB2312" w:cs="仿宋_GB2312"/>
          <w:b/>
          <w:sz w:val="30"/>
          <w:szCs w:val="30"/>
          <w:lang w:eastAsia="zh-CN"/>
        </w:rPr>
        <w:t>范围：</w:t>
      </w:r>
      <w:r>
        <w:rPr>
          <w:rFonts w:hint="eastAsia" w:ascii="仿宋_GB2312" w:hAnsi="仿宋_GB2312" w:eastAsia="仿宋_GB2312" w:cs="仿宋_GB2312"/>
          <w:b w:val="0"/>
          <w:bCs/>
          <w:sz w:val="30"/>
          <w:szCs w:val="30"/>
          <w:highlight w:val="yellow"/>
          <w:u w:val="single"/>
          <w:lang w:val="en-US" w:eastAsia="zh-CN"/>
        </w:rPr>
        <w:t>2025年1月~2025年12月</w:t>
      </w:r>
    </w:p>
    <w:p w14:paraId="19D6CF10">
      <w:pPr>
        <w:spacing w:line="560" w:lineRule="exact"/>
        <w:rPr>
          <w:rFonts w:hint="eastAsia" w:ascii="仿宋_GB2312" w:hAnsi="仿宋_GB2312" w:eastAsia="仿宋_GB2312" w:cs="仿宋_GB2312"/>
          <w:b w:val="0"/>
          <w:bCs/>
          <w:sz w:val="30"/>
          <w:szCs w:val="30"/>
          <w:highlight w:val="yellow"/>
          <w:u w:val="single"/>
          <w:lang w:val="en-US" w:eastAsia="zh-CN"/>
        </w:rPr>
      </w:pPr>
      <w:r>
        <w:rPr>
          <w:rFonts w:hint="eastAsia" w:ascii="仿宋_GB2312" w:eastAsia="仿宋_GB2312"/>
          <w:b/>
          <w:sz w:val="30"/>
          <w:szCs w:val="30"/>
          <w:highlight w:val="yellow"/>
          <w:lang w:val="en-US" w:eastAsia="zh-CN"/>
        </w:rPr>
        <w:t>3.</w:t>
      </w:r>
      <w:r>
        <w:rPr>
          <w:rFonts w:hint="eastAsia" w:ascii="仿宋_GB2312" w:eastAsia="仿宋_GB2312"/>
          <w:b/>
          <w:sz w:val="30"/>
          <w:szCs w:val="30"/>
          <w:highlight w:val="yellow"/>
        </w:rPr>
        <w:t>标的情况介绍：</w:t>
      </w:r>
      <w:r>
        <w:rPr>
          <w:rFonts w:hint="eastAsia" w:eastAsia="仿宋_GB2312"/>
          <w:sz w:val="30"/>
          <w:szCs w:val="30"/>
          <w:highlight w:val="yellow"/>
        </w:rPr>
        <w:t>本次招标共设</w:t>
      </w:r>
      <w:r>
        <w:rPr>
          <w:rFonts w:hint="eastAsia" w:eastAsia="仿宋_GB2312"/>
          <w:sz w:val="30"/>
          <w:szCs w:val="30"/>
          <w:highlight w:val="yellow"/>
          <w:lang w:val="en-US" w:eastAsia="zh-CN"/>
        </w:rPr>
        <w:t>1</w:t>
      </w:r>
      <w:r>
        <w:rPr>
          <w:rFonts w:hint="eastAsia" w:eastAsia="仿宋_GB2312"/>
          <w:sz w:val="30"/>
          <w:szCs w:val="30"/>
          <w:highlight w:val="yellow"/>
        </w:rPr>
        <w:t>个标的，详情见表：</w:t>
      </w:r>
      <w:r>
        <w:rPr>
          <w:rFonts w:hint="eastAsia" w:eastAsia="仿宋_GB2312"/>
          <w:sz w:val="30"/>
          <w:szCs w:val="30"/>
          <w:highlight w:val="yellow"/>
          <w:lang w:eastAsia="zh-CN"/>
        </w:rPr>
        <w:t>（</w:t>
      </w:r>
      <w:r>
        <w:rPr>
          <w:rFonts w:hint="eastAsia" w:eastAsia="仿宋_GB2312"/>
          <w:sz w:val="30"/>
          <w:szCs w:val="30"/>
          <w:highlight w:val="yellow"/>
          <w:lang w:val="en-US" w:eastAsia="zh-CN"/>
        </w:rPr>
        <w:t>根据实际情况调整</w:t>
      </w:r>
      <w:r>
        <w:rPr>
          <w:rFonts w:hint="eastAsia" w:eastAsia="仿宋_GB2312"/>
          <w:sz w:val="30"/>
          <w:szCs w:val="30"/>
          <w:highlight w:val="yellow"/>
          <w:lang w:eastAsia="zh-CN"/>
        </w:rPr>
        <w:t>）</w:t>
      </w:r>
    </w:p>
    <w:tbl>
      <w:tblPr>
        <w:tblStyle w:val="8"/>
        <w:tblW w:w="10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41"/>
        <w:gridCol w:w="3296"/>
        <w:gridCol w:w="3593"/>
      </w:tblGrid>
      <w:tr w14:paraId="4608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12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单边距离（KM）</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28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车厢9.6米</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946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车厢6.8/7.4米</w:t>
            </w:r>
          </w:p>
        </w:tc>
      </w:tr>
      <w:tr w14:paraId="739D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8E0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100KM以下（含）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F86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XX元/车</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305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XX元/车</w:t>
            </w:r>
          </w:p>
        </w:tc>
      </w:tr>
      <w:tr w14:paraId="0C18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FE1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100KM-250KM（含）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45D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100KM中标价+超出100KM的距离*</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lang w:val="en-US" w:eastAsia="zh-CN"/>
              </w:rPr>
              <w:t>元/KM</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0A4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100KM中标价+超出100KM的距离*</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lang w:val="en-US" w:eastAsia="zh-CN"/>
              </w:rPr>
              <w:t>元/KM</w:t>
            </w:r>
          </w:p>
        </w:tc>
      </w:tr>
      <w:tr w14:paraId="4E70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E9F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250KM-500KM（含）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EF2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X元/公里</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F3B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X元/公里</w:t>
            </w:r>
          </w:p>
        </w:tc>
      </w:tr>
    </w:tbl>
    <w:p w14:paraId="4078DA76">
      <w:pPr>
        <w:autoSpaceDE/>
        <w:autoSpaceDN/>
        <w:spacing w:before="0" w:line="240" w:lineRule="auto"/>
        <w:ind w:right="0" w:firstLine="0" w:firstLineChars="0"/>
        <w:jc w:val="left"/>
        <w:rPr>
          <w:rFonts w:hint="eastAsia" w:ascii="仿宋_GB2312" w:hAnsi="仿宋_GB2312" w:eastAsia="仿宋_GB2312" w:cs="仿宋_GB2312"/>
          <w:b/>
          <w:sz w:val="30"/>
          <w:szCs w:val="30"/>
          <w:lang w:val="en-US" w:eastAsia="zh-CN"/>
        </w:rPr>
      </w:pPr>
    </w:p>
    <w:p w14:paraId="5F063509">
      <w:pPr>
        <w:autoSpaceDE/>
        <w:autoSpaceDN/>
        <w:spacing w:before="0" w:line="240" w:lineRule="auto"/>
        <w:ind w:right="0" w:firstLine="0"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lang w:eastAsia="zh-CN"/>
        </w:rPr>
        <w:t>招标方式</w:t>
      </w:r>
      <w:r>
        <w:rPr>
          <w:rFonts w:hint="eastAsia" w:ascii="仿宋_GB2312" w:hAnsi="仿宋_GB2312" w:eastAsia="仿宋_GB2312" w:cs="仿宋_GB2312"/>
          <w:b/>
          <w:sz w:val="30"/>
          <w:szCs w:val="30"/>
        </w:rPr>
        <w:t>：</w:t>
      </w:r>
      <w:r>
        <w:rPr>
          <w:rFonts w:hint="eastAsia" w:ascii="仿宋_GB2312" w:hAnsi="仿宋_GB2312" w:eastAsia="仿宋_GB2312" w:cs="仿宋_GB2312"/>
          <w:b/>
          <w:sz w:val="30"/>
          <w:szCs w:val="30"/>
          <w:lang w:val="en-US" w:eastAsia="zh-CN"/>
        </w:rPr>
        <w:t>网上</w:t>
      </w:r>
      <w:r>
        <w:rPr>
          <w:rFonts w:hint="eastAsia" w:ascii="仿宋_GB2312" w:hAnsi="仿宋_GB2312" w:eastAsia="仿宋_GB2312" w:cs="仿宋_GB2312"/>
          <w:sz w:val="30"/>
          <w:szCs w:val="30"/>
        </w:rPr>
        <w:t>公开招标。</w:t>
      </w:r>
    </w:p>
    <w:p w14:paraId="7521B33C">
      <w:pPr>
        <w:spacing w:line="240" w:lineRule="auto"/>
        <w:ind w:left="0"/>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val="en-US" w:eastAsia="zh-CN"/>
        </w:rPr>
        <w:t>5.</w:t>
      </w:r>
      <w:r>
        <w:rPr>
          <w:rFonts w:hint="eastAsia" w:ascii="仿宋_GB2312" w:hAnsi="仿宋_GB2312" w:eastAsia="仿宋_GB2312" w:cs="仿宋_GB2312"/>
          <w:b/>
          <w:sz w:val="30"/>
          <w:szCs w:val="30"/>
          <w:lang w:eastAsia="zh-CN"/>
        </w:rPr>
        <w:t>参标流程：</w:t>
      </w:r>
    </w:p>
    <w:p w14:paraId="1178408E">
      <w:pPr>
        <w:pStyle w:val="10"/>
        <w:keepNext w:val="0"/>
        <w:keepLines w:val="0"/>
        <w:pageBreakBefore w:val="0"/>
        <w:widowControl w:val="0"/>
        <w:numPr>
          <w:ilvl w:val="0"/>
          <w:numId w:val="0"/>
        </w:numPr>
        <w:tabs>
          <w:tab w:val="left" w:pos="1570"/>
        </w:tabs>
        <w:kinsoku/>
        <w:wordWrap/>
        <w:overflowPunct/>
        <w:topLinePunct w:val="0"/>
        <w:autoSpaceDE w:val="0"/>
        <w:autoSpaceDN w:val="0"/>
        <w:bidi w:val="0"/>
        <w:adjustRightInd/>
        <w:snapToGrid/>
        <w:spacing w:before="0" w:after="0" w:line="240" w:lineRule="auto"/>
        <w:ind w:left="0" w:right="0" w:rightChars="0" w:firstLine="288" w:firstLineChars="100"/>
        <w:jc w:val="left"/>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CN"/>
        </w:rPr>
        <w:t>1</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CN"/>
        </w:rPr>
        <w:t>意向参与投标的单位，请提供以下资料：投标报名表及投标承诺书、专用车辆登记证书复印件、行驶证，投标方要求为运输公司，递交营业执照复印件（加盖公章），法定代表人身份证复印件，</w:t>
      </w:r>
      <w:r>
        <w:rPr>
          <w:rFonts w:hint="eastAsia" w:ascii="仿宋_GB2312" w:hAnsi="仿宋_GB2312" w:eastAsia="仿宋_GB2312" w:cs="仿宋_GB2312"/>
          <w:spacing w:val="-6"/>
          <w:sz w:val="30"/>
          <w:szCs w:val="30"/>
          <w:lang w:eastAsia="zh-CN"/>
        </w:rPr>
        <w:t>银行开户许可证并签字、道路运输经营许可证（加盖公章）、投标人认为应补充的其他材料。将资料报送至</w:t>
      </w:r>
      <w:r>
        <w:rPr>
          <w:rFonts w:hint="eastAsia" w:ascii="仿宋_GB2312" w:hAnsi="仿宋_GB2312" w:eastAsia="仿宋_GB2312" w:cs="仿宋_GB2312"/>
          <w:spacing w:val="-6"/>
          <w:sz w:val="30"/>
          <w:szCs w:val="30"/>
          <w:highlight w:val="yellow"/>
          <w:u w:val="single"/>
          <w:lang w:val="en-US" w:eastAsia="zh-CN"/>
        </w:rPr>
        <w:t xml:space="preserve"> 罗玺 </w:t>
      </w:r>
      <w:r>
        <w:rPr>
          <w:rFonts w:hint="eastAsia" w:ascii="仿宋_GB2312" w:hAnsi="仿宋_GB2312" w:eastAsia="仿宋_GB2312" w:cs="仿宋_GB2312"/>
          <w:spacing w:val="-6"/>
          <w:sz w:val="30"/>
          <w:szCs w:val="30"/>
          <w:lang w:eastAsia="zh-CN"/>
        </w:rPr>
        <w:t>处（</w:t>
      </w:r>
      <w:r>
        <w:rPr>
          <w:rFonts w:hint="eastAsia" w:ascii="仿宋_GB2312" w:hAnsi="仿宋_GB2312" w:eastAsia="仿宋_GB2312" w:cs="仿宋_GB2312"/>
          <w:spacing w:val="-6"/>
          <w:sz w:val="30"/>
          <w:szCs w:val="30"/>
          <w:lang w:val="en-US" w:eastAsia="zh-CN"/>
        </w:rPr>
        <w:t>邮箱</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highlight w:val="yellow"/>
          <w:u w:val="single"/>
          <w:lang w:val="en-US" w:eastAsia="zh-CN"/>
        </w:rPr>
        <w:t>3552676418@qq.com</w:t>
      </w:r>
      <w:r>
        <w:rPr>
          <w:rFonts w:hint="eastAsia" w:ascii="仿宋_GB2312" w:hAnsi="仿宋_GB2312" w:eastAsia="仿宋_GB2312" w:cs="仿宋_GB2312"/>
          <w:spacing w:val="-6"/>
          <w:sz w:val="30"/>
          <w:szCs w:val="30"/>
          <w:lang w:eastAsia="zh-CN"/>
        </w:rPr>
        <w:t>）进行报名。</w:t>
      </w:r>
    </w:p>
    <w:p w14:paraId="3A3ECEC9">
      <w:pPr>
        <w:pStyle w:val="10"/>
        <w:keepNext w:val="0"/>
        <w:keepLines w:val="0"/>
        <w:pageBreakBefore w:val="0"/>
        <w:widowControl w:val="0"/>
        <w:numPr>
          <w:ilvl w:val="0"/>
          <w:numId w:val="0"/>
        </w:numPr>
        <w:tabs>
          <w:tab w:val="left" w:pos="1570"/>
        </w:tabs>
        <w:kinsoku/>
        <w:wordWrap/>
        <w:overflowPunct/>
        <w:topLinePunct w:val="0"/>
        <w:autoSpaceDE w:val="0"/>
        <w:autoSpaceDN w:val="0"/>
        <w:bidi w:val="0"/>
        <w:adjustRightInd/>
        <w:snapToGrid/>
        <w:spacing w:before="0" w:after="0" w:line="240" w:lineRule="auto"/>
        <w:ind w:left="0" w:right="0" w:rightChars="0" w:firstLine="288" w:firstLineChars="100"/>
        <w:jc w:val="left"/>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lang w:val="en-US" w:eastAsia="zh-CN"/>
        </w:rPr>
        <w:t>2</w:t>
      </w:r>
      <w:r>
        <w:rPr>
          <w:rFonts w:hint="eastAsia" w:ascii="仿宋_GB2312" w:hAnsi="仿宋_GB2312" w:eastAsia="仿宋_GB2312" w:cs="仿宋_GB2312"/>
          <w:spacing w:val="-6"/>
          <w:sz w:val="30"/>
          <w:szCs w:val="30"/>
          <w:lang w:eastAsia="zh-CN"/>
        </w:rPr>
        <w:t>）</w:t>
      </w:r>
      <w:r>
        <w:rPr>
          <w:rFonts w:hint="eastAsia" w:ascii="仿宋_GB2312" w:hAnsi="仿宋_GB2312" w:eastAsia="仿宋_GB2312" w:cs="仿宋_GB2312"/>
          <w:spacing w:val="-6"/>
          <w:sz w:val="30"/>
          <w:szCs w:val="30"/>
          <w:highlight w:val="yellow"/>
          <w:u w:val="single"/>
          <w:lang w:val="en-US" w:eastAsia="zh-CN"/>
        </w:rPr>
        <w:t xml:space="preserve">  云南公司 </w:t>
      </w:r>
      <w:r>
        <w:rPr>
          <w:rFonts w:hint="eastAsia" w:ascii="仿宋_GB2312" w:hAnsi="仿宋_GB2312" w:eastAsia="仿宋_GB2312" w:cs="仿宋_GB2312"/>
          <w:spacing w:val="-6"/>
          <w:sz w:val="30"/>
          <w:szCs w:val="30"/>
          <w:highlight w:val="yellow"/>
          <w:lang w:val="en-US" w:eastAsia="zh-CN"/>
        </w:rPr>
        <w:t>运输小组</w:t>
      </w:r>
      <w:r>
        <w:rPr>
          <w:rFonts w:hint="eastAsia" w:ascii="仿宋_GB2312" w:hAnsi="仿宋_GB2312" w:eastAsia="仿宋_GB2312" w:cs="仿宋_GB2312"/>
          <w:spacing w:val="-6"/>
          <w:sz w:val="30"/>
          <w:szCs w:val="30"/>
          <w:lang w:val="en-US" w:eastAsia="zh-CN"/>
        </w:rPr>
        <w:t>对报名参与招标单位的资质进行评审。通过资质评审、复合投标的单位在规定时间内缴纳投标保证金，同时完成网上投标系统</w:t>
      </w:r>
      <w:r>
        <w:rPr>
          <w:rFonts w:hint="eastAsia" w:ascii="仿宋_GB2312" w:hAnsi="仿宋_GB2312" w:eastAsia="仿宋_GB2312" w:cs="仿宋_GB2312"/>
          <w:spacing w:val="-6"/>
          <w:sz w:val="30"/>
          <w:szCs w:val="30"/>
          <w:lang w:eastAsia="zh-CN"/>
        </w:rPr>
        <w:t>（https://bid.wens.com.cn）注册。</w:t>
      </w:r>
    </w:p>
    <w:p w14:paraId="763CE707">
      <w:pPr>
        <w:pStyle w:val="10"/>
        <w:keepNext w:val="0"/>
        <w:keepLines w:val="0"/>
        <w:pageBreakBefore w:val="0"/>
        <w:widowControl w:val="0"/>
        <w:numPr>
          <w:ilvl w:val="0"/>
          <w:numId w:val="1"/>
        </w:numPr>
        <w:tabs>
          <w:tab w:val="left" w:pos="1570"/>
        </w:tabs>
        <w:kinsoku/>
        <w:wordWrap/>
        <w:overflowPunct/>
        <w:topLinePunct w:val="0"/>
        <w:autoSpaceDE w:val="0"/>
        <w:autoSpaceDN w:val="0"/>
        <w:bidi w:val="0"/>
        <w:adjustRightInd/>
        <w:snapToGrid/>
        <w:spacing w:before="0" w:after="0" w:line="240" w:lineRule="auto"/>
        <w:ind w:left="0" w:right="0" w:rightChars="0" w:firstLine="300" w:firstLineChars="1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highlight w:val="yellow"/>
          <w:u w:val="single"/>
          <w:lang w:val="en-US" w:eastAsia="zh-CN"/>
        </w:rPr>
        <w:t xml:space="preserve">   云南公司</w:t>
      </w:r>
      <w:r>
        <w:rPr>
          <w:rFonts w:hint="eastAsia" w:ascii="仿宋_GB2312" w:hAnsi="仿宋_GB2312" w:eastAsia="仿宋_GB2312" w:cs="仿宋_GB2312"/>
          <w:sz w:val="30"/>
          <w:szCs w:val="30"/>
          <w:highlight w:val="yellow"/>
          <w:lang w:val="en-US" w:eastAsia="zh-CN"/>
        </w:rPr>
        <w:t xml:space="preserve"> 运输小组</w:t>
      </w:r>
      <w:r>
        <w:rPr>
          <w:rFonts w:hint="eastAsia" w:ascii="仿宋_GB2312" w:hAnsi="仿宋_GB2312" w:eastAsia="仿宋_GB2312" w:cs="仿宋_GB2312"/>
          <w:sz w:val="30"/>
          <w:szCs w:val="30"/>
          <w:lang w:val="en-US" w:eastAsia="zh-CN"/>
        </w:rPr>
        <w:t>对审核合格的单位发放网上标书允许投标，投标单位在接收到邀标信息后，在规定时间内进入温氏股份网上招标系统填报价格和填写</w:t>
      </w:r>
      <w:r>
        <w:rPr>
          <w:rFonts w:hint="eastAsia" w:ascii="仿宋_GB2312" w:hAnsi="仿宋_GB2312" w:eastAsia="仿宋_GB2312" w:cs="仿宋_GB2312"/>
          <w:sz w:val="30"/>
          <w:szCs w:val="30"/>
          <w:lang w:eastAsia="zh-CN"/>
        </w:rPr>
        <w:t>《投标承诺书》，签名盖章（手指模）后扫描上传完成投标。</w:t>
      </w:r>
    </w:p>
    <w:p w14:paraId="71FE3FD8">
      <w:pPr>
        <w:spacing w:line="240" w:lineRule="auto"/>
        <w:ind w:left="0"/>
        <w:rPr>
          <w:rFonts w:hint="eastAsia" w:ascii="仿宋_GB2312" w:hAnsi="仿宋_GB2312" w:eastAsia="仿宋_GB2312" w:cs="仿宋_GB2312"/>
          <w:b/>
          <w:sz w:val="30"/>
          <w:szCs w:val="30"/>
          <w:lang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b/>
          <w:sz w:val="30"/>
          <w:szCs w:val="30"/>
          <w:lang w:val="en-US" w:eastAsia="zh-CN"/>
        </w:rPr>
        <w:t>、保证金缴纳</w:t>
      </w:r>
      <w:r>
        <w:rPr>
          <w:rFonts w:hint="eastAsia" w:ascii="仿宋_GB2312" w:hAnsi="仿宋_GB2312" w:eastAsia="仿宋_GB2312" w:cs="仿宋_GB2312"/>
          <w:b/>
          <w:sz w:val="30"/>
          <w:szCs w:val="30"/>
          <w:lang w:eastAsia="zh-CN"/>
        </w:rPr>
        <w:t>：</w:t>
      </w:r>
    </w:p>
    <w:p w14:paraId="7AD95A0C">
      <w:pPr>
        <w:pStyle w:val="10"/>
        <w:keepNext w:val="0"/>
        <w:keepLines w:val="0"/>
        <w:pageBreakBefore w:val="0"/>
        <w:widowControl w:val="0"/>
        <w:numPr>
          <w:ilvl w:val="0"/>
          <w:numId w:val="0"/>
        </w:numPr>
        <w:tabs>
          <w:tab w:val="left" w:pos="1570"/>
        </w:tabs>
        <w:kinsoku/>
        <w:wordWrap/>
        <w:overflowPunct/>
        <w:topLinePunct w:val="0"/>
        <w:autoSpaceDE w:val="0"/>
        <w:autoSpaceDN w:val="0"/>
        <w:bidi w:val="0"/>
        <w:adjustRightInd/>
        <w:snapToGrid/>
        <w:spacing w:before="1" w:after="0" w:line="240" w:lineRule="auto"/>
        <w:ind w:left="0" w:right="506" w:rightChars="0" w:firstLine="600" w:firstLineChars="200"/>
        <w:jc w:val="both"/>
        <w:textAlignment w:val="auto"/>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通过资质评审的投标人在收到我司回复函后，按照回复函要求于</w:t>
      </w:r>
      <w:r>
        <w:rPr>
          <w:rFonts w:hint="eastAsia" w:ascii="仿宋_GB2312" w:hAnsi="仿宋_GB2312" w:eastAsia="仿宋_GB2312" w:cs="仿宋_GB2312"/>
          <w:b w:val="0"/>
          <w:bCs/>
          <w:sz w:val="30"/>
          <w:szCs w:val="30"/>
          <w:highlight w:val="yellow"/>
          <w:u w:val="single"/>
          <w:lang w:val="en-US" w:eastAsia="zh-CN"/>
        </w:rPr>
        <w:t>2024</w:t>
      </w:r>
      <w:r>
        <w:rPr>
          <w:rFonts w:hint="eastAsia" w:ascii="仿宋_GB2312" w:hAnsi="仿宋_GB2312" w:eastAsia="仿宋_GB2312" w:cs="仿宋_GB2312"/>
          <w:b w:val="0"/>
          <w:bCs/>
          <w:sz w:val="30"/>
          <w:szCs w:val="30"/>
          <w:highlight w:val="yellow"/>
          <w:lang w:val="en-US" w:eastAsia="zh-CN"/>
        </w:rPr>
        <w:t>年</w:t>
      </w:r>
      <w:r>
        <w:rPr>
          <w:rFonts w:hint="eastAsia" w:ascii="仿宋_GB2312" w:hAnsi="仿宋_GB2312" w:eastAsia="仿宋_GB2312" w:cs="仿宋_GB2312"/>
          <w:b w:val="0"/>
          <w:bCs/>
          <w:sz w:val="30"/>
          <w:szCs w:val="30"/>
          <w:highlight w:val="yellow"/>
          <w:u w:val="single"/>
          <w:lang w:val="en-US" w:eastAsia="zh-CN"/>
        </w:rPr>
        <w:t>12</w:t>
      </w:r>
      <w:r>
        <w:rPr>
          <w:rFonts w:hint="eastAsia" w:ascii="仿宋_GB2312" w:hAnsi="仿宋_GB2312" w:eastAsia="仿宋_GB2312" w:cs="仿宋_GB2312"/>
          <w:b w:val="0"/>
          <w:bCs/>
          <w:sz w:val="30"/>
          <w:szCs w:val="30"/>
          <w:highlight w:val="yellow"/>
          <w:lang w:val="en-US" w:eastAsia="zh-CN"/>
        </w:rPr>
        <w:t>月</w:t>
      </w:r>
      <w:r>
        <w:rPr>
          <w:rFonts w:hint="eastAsia" w:ascii="仿宋_GB2312" w:hAnsi="仿宋_GB2312" w:eastAsia="仿宋_GB2312" w:cs="仿宋_GB2312"/>
          <w:b w:val="0"/>
          <w:bCs/>
          <w:sz w:val="30"/>
          <w:szCs w:val="30"/>
          <w:highlight w:val="yellow"/>
          <w:u w:val="single"/>
          <w:lang w:val="en-US" w:eastAsia="zh-CN"/>
        </w:rPr>
        <w:t>22</w:t>
      </w:r>
      <w:r>
        <w:rPr>
          <w:rFonts w:hint="eastAsia" w:ascii="仿宋_GB2312" w:hAnsi="仿宋_GB2312" w:eastAsia="仿宋_GB2312" w:cs="仿宋_GB2312"/>
          <w:b w:val="0"/>
          <w:bCs/>
          <w:sz w:val="30"/>
          <w:szCs w:val="30"/>
          <w:highlight w:val="yellow"/>
          <w:lang w:val="en-US" w:eastAsia="zh-CN"/>
        </w:rPr>
        <w:t>日</w:t>
      </w:r>
      <w:r>
        <w:rPr>
          <w:rFonts w:hint="eastAsia" w:ascii="仿宋_GB2312" w:hAnsi="仿宋_GB2312" w:eastAsia="仿宋_GB2312" w:cs="仿宋_GB2312"/>
          <w:b w:val="0"/>
          <w:bCs/>
          <w:sz w:val="30"/>
          <w:szCs w:val="30"/>
          <w:highlight w:val="yellow"/>
          <w:u w:val="single"/>
          <w:lang w:val="en-US" w:eastAsia="zh-CN"/>
        </w:rPr>
        <w:t>18:00</w:t>
      </w:r>
      <w:r>
        <w:rPr>
          <w:rFonts w:hint="eastAsia" w:ascii="仿宋_GB2312" w:hAnsi="仿宋_GB2312" w:eastAsia="仿宋_GB2312" w:cs="仿宋_GB2312"/>
          <w:b w:val="0"/>
          <w:bCs/>
          <w:sz w:val="30"/>
          <w:szCs w:val="30"/>
          <w:lang w:val="en-US" w:eastAsia="zh-CN"/>
        </w:rPr>
        <w:t>前将本次招标报名保证金</w:t>
      </w:r>
      <w:r>
        <w:rPr>
          <w:rFonts w:hint="eastAsia" w:ascii="仿宋_GB2312" w:hAnsi="仿宋_GB2312" w:eastAsia="仿宋_GB2312" w:cs="仿宋_GB2312"/>
          <w:b w:val="0"/>
          <w:bCs/>
          <w:sz w:val="30"/>
          <w:szCs w:val="30"/>
          <w:highlight w:val="yellow"/>
          <w:u w:val="single"/>
          <w:lang w:val="en-US" w:eastAsia="zh-CN"/>
        </w:rPr>
        <w:t xml:space="preserve">  5  </w:t>
      </w:r>
      <w:r>
        <w:rPr>
          <w:rFonts w:hint="eastAsia" w:ascii="仿宋_GB2312" w:hAnsi="仿宋_GB2312" w:eastAsia="仿宋_GB2312" w:cs="仿宋_GB2312"/>
          <w:b w:val="0"/>
          <w:bCs/>
          <w:sz w:val="30"/>
          <w:szCs w:val="30"/>
          <w:highlight w:val="yellow"/>
          <w:lang w:val="en-US" w:eastAsia="zh-CN"/>
        </w:rPr>
        <w:t>万元</w:t>
      </w:r>
      <w:r>
        <w:rPr>
          <w:rFonts w:hint="eastAsia" w:ascii="仿宋_GB2312" w:hAnsi="仿宋_GB2312" w:eastAsia="仿宋_GB2312" w:cs="仿宋_GB2312"/>
          <w:b w:val="0"/>
          <w:bCs/>
          <w:sz w:val="30"/>
          <w:szCs w:val="30"/>
          <w:lang w:val="en-US" w:eastAsia="zh-CN"/>
        </w:rPr>
        <w:t>汇款至以下账号，保证金缴纳以转账形式提交，以招标人收到时间为准。</w:t>
      </w:r>
      <w:r>
        <w:rPr>
          <w:rFonts w:hint="eastAsia" w:ascii="仿宋_GB2312" w:hAnsi="仿宋_GB2312" w:eastAsia="仿宋_GB2312" w:cs="仿宋_GB2312"/>
          <w:b/>
          <w:bCs w:val="0"/>
          <w:sz w:val="30"/>
          <w:szCs w:val="30"/>
          <w:lang w:val="en-US" w:eastAsia="zh-CN"/>
        </w:rPr>
        <w:t>汇款方名称须与投标方名称一致</w:t>
      </w:r>
      <w:r>
        <w:rPr>
          <w:rFonts w:hint="eastAsia" w:ascii="仿宋_GB2312" w:hAnsi="仿宋_GB2312" w:eastAsia="仿宋_GB2312" w:cs="仿宋_GB2312"/>
          <w:b w:val="0"/>
          <w:bCs/>
          <w:sz w:val="30"/>
          <w:szCs w:val="30"/>
          <w:lang w:val="en-US" w:eastAsia="zh-CN"/>
        </w:rPr>
        <w:t>。汇款请在用途处注明：投标保证金，过时未汇款的视为放弃投标：</w:t>
      </w:r>
    </w:p>
    <w:p w14:paraId="78C0A4C6">
      <w:pPr>
        <w:pStyle w:val="6"/>
        <w:keepNext w:val="0"/>
        <w:keepLines w:val="0"/>
        <w:pageBreakBefore w:val="0"/>
        <w:kinsoku/>
        <w:wordWrap/>
        <w:overflowPunct/>
        <w:topLinePunct w:val="0"/>
        <w:autoSpaceDE/>
        <w:autoSpaceDN/>
        <w:bidi w:val="0"/>
        <w:adjustRightInd/>
        <w:snapToGrid/>
        <w:spacing w:line="240" w:lineRule="auto"/>
        <w:ind w:left="0"/>
        <w:textAlignment w:val="auto"/>
        <w:rPr>
          <w:rFonts w:hint="eastAsia" w:ascii="仿宋_GB2312" w:hAnsi="仿宋_GB2312" w:eastAsia="仿宋_GB2312" w:cs="仿宋_GB2312"/>
          <w:i w:val="0"/>
          <w:iCs w:val="0"/>
          <w:caps w:val="0"/>
          <w:color w:val="333333"/>
          <w:spacing w:val="0"/>
          <w:sz w:val="30"/>
          <w:szCs w:val="30"/>
          <w:u w:val="single"/>
          <w:lang w:val="en-US" w:eastAsia="zh-CN"/>
        </w:rPr>
      </w:pPr>
      <w:r>
        <w:rPr>
          <w:rFonts w:hint="eastAsia" w:ascii="仿宋_GB2312" w:hAnsi="仿宋_GB2312" w:eastAsia="仿宋_GB2312" w:cs="仿宋_GB2312"/>
          <w:i w:val="0"/>
          <w:iCs w:val="0"/>
          <w:caps w:val="0"/>
          <w:color w:val="333333"/>
          <w:spacing w:val="0"/>
          <w:sz w:val="30"/>
          <w:szCs w:val="30"/>
        </w:rPr>
        <w:t>公司名称：</w:t>
      </w:r>
      <w:r>
        <w:rPr>
          <w:rFonts w:hint="eastAsia" w:ascii="仿宋_GB2312" w:hAnsi="仿宋_GB2312" w:eastAsia="仿宋_GB2312" w:cs="仿宋_GB2312"/>
          <w:sz w:val="30"/>
          <w:szCs w:val="30"/>
          <w:highlight w:val="yellow"/>
          <w:u w:val="single"/>
          <w:lang w:val="en-US" w:eastAsia="zh-CN"/>
        </w:rPr>
        <w:t>曲靖市沾益区温氏畜牧有限公司</w:t>
      </w:r>
    </w:p>
    <w:p w14:paraId="2F6CB03B">
      <w:pPr>
        <w:pStyle w:val="6"/>
        <w:keepNext w:val="0"/>
        <w:keepLines w:val="0"/>
        <w:pageBreakBefore w:val="0"/>
        <w:kinsoku/>
        <w:wordWrap/>
        <w:overflowPunct/>
        <w:topLinePunct w:val="0"/>
        <w:autoSpaceDE/>
        <w:autoSpaceDN/>
        <w:bidi w:val="0"/>
        <w:adjustRightInd/>
        <w:snapToGrid/>
        <w:spacing w:before="0" w:line="240" w:lineRule="auto"/>
        <w:ind w:left="0" w:right="0"/>
        <w:textAlignment w:val="auto"/>
        <w:rPr>
          <w:rFonts w:hint="eastAsia" w:ascii="仿宋_GB2312" w:hAnsi="仿宋_GB2312" w:eastAsia="仿宋_GB2312" w:cs="仿宋_GB2312"/>
          <w:i w:val="0"/>
          <w:iCs w:val="0"/>
          <w:caps w:val="0"/>
          <w:color w:val="333333"/>
          <w:spacing w:val="0"/>
          <w:sz w:val="30"/>
          <w:szCs w:val="30"/>
          <w:highlight w:val="yellow"/>
          <w:u w:val="single"/>
          <w:lang w:val="en-US" w:eastAsia="zh-CN"/>
        </w:rPr>
      </w:pPr>
      <w:r>
        <w:rPr>
          <w:rFonts w:hint="eastAsia" w:ascii="仿宋_GB2312" w:hAnsi="仿宋_GB2312" w:eastAsia="仿宋_GB2312" w:cs="仿宋_GB2312"/>
          <w:sz w:val="30"/>
          <w:szCs w:val="30"/>
          <w:lang w:val="en-US" w:eastAsia="zh-CN"/>
        </w:rPr>
        <w:t>统一社会信用代码:</w:t>
      </w:r>
      <w:r>
        <w:rPr>
          <w:rFonts w:hint="eastAsia" w:ascii="仿宋_GB2312" w:hAnsi="仿宋_GB2312" w:eastAsia="仿宋_GB2312" w:cs="仿宋_GB2312"/>
          <w:sz w:val="30"/>
          <w:szCs w:val="30"/>
          <w:highlight w:val="yellow"/>
          <w:u w:val="single"/>
          <w:lang w:val="en-US" w:eastAsia="zh-CN"/>
        </w:rPr>
        <w:t>91530328MA6K5RA94N</w:t>
      </w:r>
    </w:p>
    <w:p w14:paraId="1BB9B5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auto"/>
        <w:rPr>
          <w:rFonts w:hint="eastAsia" w:ascii="仿宋_GB2312" w:hAnsi="仿宋_GB2312" w:eastAsia="仿宋_GB2312" w:cs="仿宋_GB2312"/>
          <w:i w:val="0"/>
          <w:iCs w:val="0"/>
          <w:caps w:val="0"/>
          <w:color w:val="333333"/>
          <w:spacing w:val="0"/>
          <w:sz w:val="30"/>
          <w:szCs w:val="30"/>
          <w:highlight w:val="yellow"/>
          <w:u w:val="single"/>
          <w:lang w:val="en-US" w:eastAsia="zh-CN"/>
        </w:rPr>
      </w:pPr>
      <w:r>
        <w:rPr>
          <w:rFonts w:hint="eastAsia" w:ascii="仿宋_GB2312" w:hAnsi="仿宋_GB2312" w:eastAsia="仿宋_GB2312" w:cs="仿宋_GB2312"/>
          <w:i w:val="0"/>
          <w:iCs w:val="0"/>
          <w:caps w:val="0"/>
          <w:color w:val="333333"/>
          <w:spacing w:val="0"/>
          <w:sz w:val="30"/>
          <w:szCs w:val="30"/>
        </w:rPr>
        <w:t>开户行：</w:t>
      </w:r>
      <w:r>
        <w:rPr>
          <w:rFonts w:hint="eastAsia" w:ascii="仿宋_GB2312" w:hAnsi="仿宋_GB2312" w:eastAsia="仿宋_GB2312" w:cs="仿宋_GB2312"/>
          <w:kern w:val="2"/>
          <w:sz w:val="30"/>
          <w:szCs w:val="30"/>
          <w:highlight w:val="yellow"/>
          <w:u w:val="single"/>
          <w:lang w:val="en-US" w:eastAsia="zh-CN" w:bidi="ar-SA"/>
        </w:rPr>
        <w:t>中国农业银行广东省云浮市新兴县支行</w:t>
      </w:r>
    </w:p>
    <w:p w14:paraId="0D5467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auto"/>
        <w:rPr>
          <w:rFonts w:hint="eastAsia" w:ascii="仿宋_GB2312" w:hAnsi="仿宋_GB2312" w:eastAsia="仿宋_GB2312" w:cs="仿宋_GB2312"/>
          <w:i w:val="0"/>
          <w:iCs w:val="0"/>
          <w:caps w:val="0"/>
          <w:color w:val="333333"/>
          <w:spacing w:val="0"/>
          <w:sz w:val="30"/>
          <w:szCs w:val="30"/>
          <w:highlight w:val="yellow"/>
          <w:u w:val="single"/>
          <w:lang w:val="en-US" w:eastAsia="zh-CN"/>
        </w:rPr>
      </w:pPr>
      <w:r>
        <w:rPr>
          <w:rFonts w:hint="eastAsia" w:ascii="仿宋_GB2312" w:hAnsi="仿宋_GB2312" w:eastAsia="仿宋_GB2312" w:cs="仿宋_GB2312"/>
          <w:i w:val="0"/>
          <w:iCs w:val="0"/>
          <w:caps w:val="0"/>
          <w:color w:val="333333"/>
          <w:spacing w:val="0"/>
          <w:sz w:val="30"/>
          <w:szCs w:val="30"/>
          <w:lang w:val="en-US" w:eastAsia="zh-CN"/>
        </w:rPr>
        <w:t>银行账户</w:t>
      </w:r>
      <w:r>
        <w:rPr>
          <w:rFonts w:hint="eastAsia" w:ascii="仿宋_GB2312" w:hAnsi="仿宋_GB2312" w:eastAsia="仿宋_GB2312" w:cs="仿宋_GB2312"/>
          <w:i w:val="0"/>
          <w:iCs w:val="0"/>
          <w:caps w:val="0"/>
          <w:color w:val="333333"/>
          <w:spacing w:val="0"/>
          <w:sz w:val="30"/>
          <w:szCs w:val="30"/>
        </w:rPr>
        <w:t>：</w:t>
      </w:r>
      <w:r>
        <w:rPr>
          <w:rFonts w:hint="eastAsia" w:ascii="仿宋_GB2312" w:hAnsi="仿宋_GB2312" w:eastAsia="仿宋_GB2312" w:cs="仿宋_GB2312"/>
          <w:kern w:val="2"/>
          <w:sz w:val="30"/>
          <w:szCs w:val="30"/>
          <w:highlight w:val="yellow"/>
          <w:u w:val="single"/>
          <w:lang w:val="en-US" w:eastAsia="zh-CN" w:bidi="ar-SA"/>
        </w:rPr>
        <w:t>44666101040012701</w:t>
      </w:r>
    </w:p>
    <w:p w14:paraId="5130E1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auto"/>
        <w:rPr>
          <w:rFonts w:hint="eastAsia" w:ascii="仿宋_GB2312" w:hAnsi="仿宋_GB2312" w:eastAsia="仿宋_GB2312" w:cs="仿宋_GB2312"/>
          <w:i w:val="0"/>
          <w:iCs w:val="0"/>
          <w:caps w:val="0"/>
          <w:color w:val="333333"/>
          <w:spacing w:val="0"/>
          <w:sz w:val="30"/>
          <w:szCs w:val="30"/>
          <w:u w:val="single"/>
          <w:lang w:eastAsia="zh-CN"/>
        </w:rPr>
      </w:pPr>
      <w:r>
        <w:rPr>
          <w:rFonts w:hint="eastAsia" w:ascii="仿宋_GB2312" w:hAnsi="仿宋_GB2312" w:eastAsia="仿宋_GB2312" w:cs="仿宋_GB2312"/>
          <w:i w:val="0"/>
          <w:iCs w:val="0"/>
          <w:caps w:val="0"/>
          <w:color w:val="333333"/>
          <w:spacing w:val="0"/>
          <w:sz w:val="30"/>
          <w:szCs w:val="30"/>
        </w:rPr>
        <w:t>电话：</w:t>
      </w:r>
      <w:r>
        <w:rPr>
          <w:rFonts w:hint="eastAsia" w:ascii="仿宋_GB2312" w:hAnsi="仿宋_GB2312" w:eastAsia="仿宋_GB2312" w:cs="仿宋_GB2312"/>
          <w:i w:val="0"/>
          <w:iCs w:val="0"/>
          <w:caps w:val="0"/>
          <w:color w:val="333333"/>
          <w:spacing w:val="0"/>
          <w:sz w:val="30"/>
          <w:szCs w:val="30"/>
          <w:highlight w:val="yellow"/>
          <w:u w:val="single"/>
          <w:lang w:val="en-US" w:eastAsia="zh-CN"/>
        </w:rPr>
        <w:t>18887058053/15087496147</w:t>
      </w:r>
      <w:r>
        <w:rPr>
          <w:rFonts w:hint="eastAsia" w:ascii="仿宋_GB2312" w:hAnsi="仿宋_GB2312" w:eastAsia="仿宋_GB2312" w:cs="仿宋_GB2312"/>
          <w:i w:val="0"/>
          <w:iCs w:val="0"/>
          <w:caps w:val="0"/>
          <w:color w:val="333333"/>
          <w:spacing w:val="0"/>
          <w:sz w:val="30"/>
          <w:szCs w:val="30"/>
          <w:highlight w:val="yellow"/>
          <w:u w:val="single"/>
        </w:rPr>
        <w:t>（仅为财务咨询</w:t>
      </w:r>
      <w:r>
        <w:rPr>
          <w:rFonts w:hint="eastAsia" w:ascii="仿宋_GB2312" w:hAnsi="仿宋_GB2312" w:eastAsia="仿宋_GB2312" w:cs="仿宋_GB2312"/>
          <w:i w:val="0"/>
          <w:iCs w:val="0"/>
          <w:caps w:val="0"/>
          <w:color w:val="333333"/>
          <w:spacing w:val="0"/>
          <w:sz w:val="30"/>
          <w:szCs w:val="30"/>
          <w:highlight w:val="yellow"/>
          <w:u w:val="single"/>
          <w:lang w:eastAsia="zh-CN"/>
        </w:rPr>
        <w:t>）</w:t>
      </w:r>
    </w:p>
    <w:p w14:paraId="3582EB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auto"/>
        <w:rPr>
          <w:rFonts w:hint="eastAsia" w:ascii="宋体" w:hAnsi="宋体" w:eastAsia="宋体" w:cs="宋体"/>
          <w:kern w:val="2"/>
          <w:sz w:val="32"/>
          <w:szCs w:val="32"/>
          <w:highlight w:val="yellow"/>
          <w:u w:val="single"/>
          <w:lang w:val="en-US" w:eastAsia="zh-CN" w:bidi="ar-SA"/>
        </w:rPr>
      </w:pPr>
      <w:r>
        <w:rPr>
          <w:rFonts w:hint="eastAsia" w:ascii="仿宋_GB2312" w:hAnsi="仿宋_GB2312" w:eastAsia="仿宋_GB2312" w:cs="仿宋_GB2312"/>
          <w:i w:val="0"/>
          <w:iCs w:val="0"/>
          <w:caps w:val="0"/>
          <w:color w:val="333333"/>
          <w:spacing w:val="0"/>
          <w:sz w:val="30"/>
          <w:szCs w:val="30"/>
        </w:rPr>
        <w:t>地址：</w:t>
      </w:r>
      <w:r>
        <w:rPr>
          <w:rFonts w:hint="eastAsia" w:ascii="仿宋_GB2312" w:hAnsi="仿宋_GB2312" w:eastAsia="仿宋_GB2312" w:cs="仿宋_GB2312"/>
          <w:kern w:val="2"/>
          <w:sz w:val="30"/>
          <w:szCs w:val="30"/>
          <w:highlight w:val="yellow"/>
          <w:u w:val="single"/>
          <w:lang w:val="en-US" w:eastAsia="zh-CN" w:bidi="ar-SA"/>
        </w:rPr>
        <w:t>云南省曲靖市沾益区沾益工业园区城西片区</w:t>
      </w:r>
    </w:p>
    <w:p w14:paraId="50210EF3">
      <w:pPr>
        <w:pStyle w:val="6"/>
        <w:spacing w:line="240" w:lineRule="auto"/>
        <w:ind w:left="769"/>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6</w:t>
      </w:r>
      <w:r>
        <w:rPr>
          <w:rFonts w:hint="eastAsia" w:ascii="仿宋_GB2312" w:hAnsi="仿宋_GB2312" w:eastAsia="仿宋_GB2312" w:cs="仿宋_GB2312"/>
          <w:b/>
          <w:spacing w:val="-51"/>
          <w:sz w:val="30"/>
          <w:szCs w:val="30"/>
        </w:rPr>
        <w:t>、</w:t>
      </w:r>
      <w:r>
        <w:rPr>
          <w:rFonts w:hint="eastAsia" w:ascii="仿宋_GB2312" w:hAnsi="仿宋_GB2312" w:eastAsia="仿宋_GB2312" w:cs="仿宋_GB2312"/>
          <w:spacing w:val="-6"/>
          <w:sz w:val="30"/>
          <w:szCs w:val="30"/>
        </w:rPr>
        <w:t>开标时间及投标相关事项将在第二部分《投标须知》上说明，</w:t>
      </w:r>
    </w:p>
    <w:p w14:paraId="4D3A9FAD">
      <w:pPr>
        <w:pStyle w:val="6"/>
        <w:spacing w:line="24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招标具体标的情况及要求在本文底部。</w:t>
      </w:r>
      <w:r>
        <w:drawing>
          <wp:anchor distT="0" distB="0" distL="114300" distR="114300" simplePos="0" relativeHeight="251660288" behindDoc="0" locked="0" layoutInCell="1" allowOverlap="1">
            <wp:simplePos x="0" y="0"/>
            <wp:positionH relativeFrom="column">
              <wp:posOffset>5601335</wp:posOffset>
            </wp:positionH>
            <wp:positionV relativeFrom="paragraph">
              <wp:posOffset>-598170</wp:posOffset>
            </wp:positionV>
            <wp:extent cx="646430" cy="431800"/>
            <wp:effectExtent l="0" t="0" r="1270" b="6350"/>
            <wp:wrapSquare wrapText="bothSides"/>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46430" cy="431800"/>
                    </a:xfrm>
                    <a:prstGeom prst="rect">
                      <a:avLst/>
                    </a:prstGeom>
                  </pic:spPr>
                </pic:pic>
              </a:graphicData>
            </a:graphic>
          </wp:anchor>
        </w:drawing>
      </w:r>
    </w:p>
    <w:p w14:paraId="21653403">
      <w:pPr>
        <w:pStyle w:val="3"/>
        <w:tabs>
          <w:tab w:val="left" w:pos="5195"/>
        </w:tabs>
        <w:spacing w:line="675" w:lineRule="exact"/>
        <w:ind w:left="0" w:leftChars="0" w:firstLine="2209" w:firstLineChars="500"/>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第二部分</w:t>
      </w:r>
      <w:r>
        <w:rPr>
          <w:rFonts w:hint="eastAsia" w:ascii="仿宋_GB2312" w:hAnsi="仿宋_GB2312" w:eastAsia="仿宋_GB2312" w:cs="仿宋_GB2312"/>
          <w:sz w:val="44"/>
          <w:szCs w:val="44"/>
          <w:lang w:val="en-US" w:eastAsia="zh-CN"/>
        </w:rPr>
        <w:t xml:space="preserve">    </w:t>
      </w:r>
      <w:r>
        <w:rPr>
          <w:rFonts w:hint="eastAsia" w:ascii="仿宋_GB2312" w:hAnsi="仿宋_GB2312" w:eastAsia="仿宋_GB2312" w:cs="仿宋_GB2312"/>
          <w:sz w:val="44"/>
          <w:szCs w:val="44"/>
        </w:rPr>
        <w:t>投标须知</w:t>
      </w:r>
    </w:p>
    <w:tbl>
      <w:tblPr>
        <w:tblStyle w:val="8"/>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4"/>
        <w:gridCol w:w="665"/>
        <w:gridCol w:w="8795"/>
      </w:tblGrid>
      <w:tr w14:paraId="2B35B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5000" w:type="pct"/>
            <w:gridSpan w:val="3"/>
            <w:tcBorders>
              <w:tl2br w:val="nil"/>
              <w:tr2bl w:val="nil"/>
            </w:tcBorders>
          </w:tcPr>
          <w:p w14:paraId="1EDA934D">
            <w:pPr>
              <w:pStyle w:val="11"/>
              <w:spacing w:before="96" w:line="404" w:lineRule="exact"/>
              <w:ind w:left="2"/>
              <w:jc w:val="center"/>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主要内容</w:t>
            </w:r>
            <w:r>
              <w:rPr>
                <w:rFonts w:hint="eastAsia" w:ascii="仿宋_GB2312" w:hAnsi="仿宋_GB2312" w:eastAsia="仿宋_GB2312" w:cs="仿宋_GB2312"/>
                <w:b/>
                <w:bCs/>
                <w:color w:val="FF0000"/>
                <w:sz w:val="30"/>
                <w:szCs w:val="30"/>
                <w:lang w:eastAsia="zh-CN"/>
              </w:rPr>
              <w:t>（</w:t>
            </w:r>
            <w:r>
              <w:rPr>
                <w:rFonts w:hint="eastAsia" w:ascii="仿宋_GB2312" w:hAnsi="仿宋_GB2312" w:eastAsia="仿宋_GB2312" w:cs="仿宋_GB2312"/>
                <w:b/>
                <w:bCs/>
                <w:color w:val="FF0000"/>
                <w:sz w:val="30"/>
                <w:szCs w:val="30"/>
                <w:lang w:val="en-US" w:eastAsia="zh-CN"/>
              </w:rPr>
              <w:t>根据具体招标情况修订</w:t>
            </w:r>
            <w:r>
              <w:rPr>
                <w:rFonts w:hint="eastAsia" w:ascii="仿宋_GB2312" w:hAnsi="仿宋_GB2312" w:eastAsia="仿宋_GB2312" w:cs="仿宋_GB2312"/>
                <w:b/>
                <w:bCs/>
                <w:color w:val="FF0000"/>
                <w:sz w:val="30"/>
                <w:szCs w:val="30"/>
                <w:lang w:eastAsia="zh-CN"/>
              </w:rPr>
              <w:t>）</w:t>
            </w:r>
          </w:p>
        </w:tc>
      </w:tr>
      <w:tr w14:paraId="0A6E8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319" w:type="pct"/>
            <w:tcBorders>
              <w:tl2br w:val="nil"/>
              <w:tr2bl w:val="nil"/>
            </w:tcBorders>
          </w:tcPr>
          <w:p w14:paraId="2D719948">
            <w:pPr>
              <w:pStyle w:val="11"/>
              <w:spacing w:before="118"/>
              <w:ind w:left="12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w w:val="99"/>
                <w:sz w:val="30"/>
                <w:szCs w:val="30"/>
                <w14:textFill>
                  <w14:solidFill>
                    <w14:schemeClr w14:val="tx1"/>
                  </w14:solidFill>
                </w14:textFill>
              </w:rPr>
              <w:t>1</w:t>
            </w:r>
          </w:p>
        </w:tc>
        <w:tc>
          <w:tcPr>
            <w:tcW w:w="4680" w:type="pct"/>
            <w:gridSpan w:val="2"/>
            <w:tcBorders>
              <w:tl2br w:val="nil"/>
              <w:tr2bl w:val="nil"/>
            </w:tcBorders>
          </w:tcPr>
          <w:p w14:paraId="239C1B20">
            <w:pPr>
              <w:pStyle w:val="11"/>
              <w:spacing w:before="96" w:line="240" w:lineRule="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招标方式：网上公开招标</w:t>
            </w:r>
          </w:p>
        </w:tc>
      </w:tr>
      <w:tr w14:paraId="736A7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4" w:hRule="atLeast"/>
        </w:trPr>
        <w:tc>
          <w:tcPr>
            <w:tcW w:w="319" w:type="pct"/>
            <w:tcBorders>
              <w:tl2br w:val="nil"/>
              <w:tr2bl w:val="nil"/>
            </w:tcBorders>
          </w:tcPr>
          <w:p w14:paraId="53CB489C">
            <w:pPr>
              <w:pStyle w:val="11"/>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0F8569DF">
            <w:pPr>
              <w:pStyle w:val="11"/>
              <w:spacing w:before="3"/>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37BF5238">
            <w:pPr>
              <w:pStyle w:val="11"/>
              <w:ind w:left="12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w w:val="99"/>
                <w:sz w:val="30"/>
                <w:szCs w:val="30"/>
                <w14:textFill>
                  <w14:solidFill>
                    <w14:schemeClr w14:val="tx1"/>
                  </w14:solidFill>
                </w14:textFill>
              </w:rPr>
              <w:t>2</w:t>
            </w:r>
          </w:p>
        </w:tc>
        <w:tc>
          <w:tcPr>
            <w:tcW w:w="329" w:type="pct"/>
            <w:tcBorders>
              <w:tl2br w:val="nil"/>
              <w:tr2bl w:val="nil"/>
            </w:tcBorders>
          </w:tcPr>
          <w:p w14:paraId="6A2355E4">
            <w:pPr>
              <w:pStyle w:val="11"/>
              <w:spacing w:line="240" w:lineRule="auto"/>
              <w:rPr>
                <w:rFonts w:hint="eastAsia" w:ascii="仿宋_GB2312" w:hAnsi="仿宋_GB2312" w:eastAsia="仿宋_GB2312" w:cs="仿宋_GB2312"/>
                <w:b/>
                <w:color w:val="000000" w:themeColor="text1"/>
                <w:sz w:val="30"/>
                <w:szCs w:val="30"/>
                <w14:textFill>
                  <w14:solidFill>
                    <w14:schemeClr w14:val="tx1"/>
                  </w14:solidFill>
                </w14:textFill>
              </w:rPr>
            </w:pPr>
          </w:p>
          <w:p w14:paraId="3B380F78">
            <w:pPr>
              <w:pStyle w:val="11"/>
              <w:spacing w:before="14" w:line="240" w:lineRule="auto"/>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72292582">
            <w:pPr>
              <w:pStyle w:val="11"/>
              <w:spacing w:line="240" w:lineRule="auto"/>
              <w:ind w:left="5" w:right="109"/>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招标时间</w:t>
            </w:r>
          </w:p>
        </w:tc>
        <w:tc>
          <w:tcPr>
            <w:tcW w:w="4350" w:type="pct"/>
            <w:tcBorders>
              <w:tl2br w:val="nil"/>
              <w:tr2bl w:val="nil"/>
            </w:tcBorders>
          </w:tcPr>
          <w:p w14:paraId="60D16645">
            <w:pPr>
              <w:pStyle w:val="11"/>
              <w:spacing w:before="97" w:line="240" w:lineRule="auto"/>
              <w:ind w:left="1"/>
              <w:rPr>
                <w:rFonts w:hint="eastAsia" w:ascii="仿宋_GB2312" w:hAnsi="仿宋_GB2312" w:eastAsia="仿宋_GB2312" w:cs="仿宋_GB2312"/>
                <w:color w:val="000000" w:themeColor="text1"/>
                <w:sz w:val="30"/>
                <w:szCs w:val="30"/>
                <w:highlight w:val="yellow"/>
                <w:lang w:val="en-US"/>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①</w:t>
            </w:r>
            <w:r>
              <w:rPr>
                <w:rFonts w:hint="eastAsia" w:ascii="仿宋_GB2312" w:hAnsi="仿宋_GB2312" w:eastAsia="仿宋_GB2312" w:cs="仿宋_GB2312"/>
                <w:color w:val="000000" w:themeColor="text1"/>
                <w:sz w:val="30"/>
                <w:szCs w:val="30"/>
                <w14:textFill>
                  <w14:solidFill>
                    <w14:schemeClr w14:val="tx1"/>
                  </w14:solidFill>
                </w14:textFill>
              </w:rPr>
              <w:t>投标报名文件收集截止时间：</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2024年12月22日</w:t>
            </w:r>
          </w:p>
          <w:p w14:paraId="7617A948">
            <w:pPr>
              <w:pStyle w:val="11"/>
              <w:spacing w:before="111" w:line="240" w:lineRule="auto"/>
              <w:ind w:left="1"/>
              <w:rPr>
                <w:rFonts w:hint="eastAsia" w:ascii="仿宋_GB2312" w:hAnsi="仿宋_GB2312" w:eastAsia="仿宋_GB2312" w:cs="仿宋_GB2312"/>
                <w:color w:val="000000" w:themeColor="text1"/>
                <w:sz w:val="30"/>
                <w:szCs w:val="30"/>
                <w:u w:val="single"/>
                <w:lang w:val="en-US"/>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②</w:t>
            </w:r>
            <w:r>
              <w:rPr>
                <w:rFonts w:hint="eastAsia" w:ascii="仿宋_GB2312" w:hAnsi="仿宋_GB2312" w:eastAsia="仿宋_GB2312" w:cs="仿宋_GB2312"/>
                <w:color w:val="000000" w:themeColor="text1"/>
                <w:sz w:val="30"/>
                <w:szCs w:val="30"/>
                <w14:textFill>
                  <w14:solidFill>
                    <w14:schemeClr w14:val="tx1"/>
                  </w14:solidFill>
                </w14:textFill>
              </w:rPr>
              <w:t>招标文件解答时间：</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2024年12月22日</w:t>
            </w:r>
          </w:p>
          <w:p w14:paraId="1622100B">
            <w:pPr>
              <w:pStyle w:val="11"/>
              <w:spacing w:before="108" w:line="240" w:lineRule="auto"/>
              <w:ind w:left="1" w:right="138"/>
              <w:rPr>
                <w:rFonts w:hint="eastAsia" w:ascii="仿宋_GB2312" w:hAnsi="仿宋_GB2312" w:eastAsia="仿宋_GB2312" w:cs="仿宋_GB2312"/>
                <w:color w:val="000000" w:themeColor="text1"/>
                <w:sz w:val="30"/>
                <w:szCs w:val="30"/>
                <w:highlight w:val="yellow"/>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③</w:t>
            </w:r>
            <w:r>
              <w:rPr>
                <w:rFonts w:hint="eastAsia" w:ascii="仿宋_GB2312" w:hAnsi="仿宋_GB2312" w:eastAsia="仿宋_GB2312" w:cs="仿宋_GB2312"/>
                <w:color w:val="000000" w:themeColor="text1"/>
                <w:sz w:val="30"/>
                <w:szCs w:val="30"/>
                <w14:textFill>
                  <w14:solidFill>
                    <w14:schemeClr w14:val="tx1"/>
                  </w14:solidFill>
                </w14:textFill>
              </w:rPr>
              <w:t>资质评审结果通知时间：</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2024年12月22日</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(各投标单位须在该时间登录自身报名邮箱查收结果通知）</w:t>
            </w:r>
          </w:p>
          <w:p w14:paraId="5BB886AB">
            <w:pPr>
              <w:pStyle w:val="11"/>
              <w:spacing w:line="240" w:lineRule="auto"/>
              <w:ind w:left="1"/>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④</w:t>
            </w:r>
            <w:r>
              <w:rPr>
                <w:rFonts w:hint="eastAsia" w:ascii="仿宋_GB2312" w:hAnsi="仿宋_GB2312" w:eastAsia="仿宋_GB2312" w:cs="仿宋_GB2312"/>
                <w:color w:val="000000" w:themeColor="text1"/>
                <w:sz w:val="30"/>
                <w:szCs w:val="30"/>
                <w14:textFill>
                  <w14:solidFill>
                    <w14:schemeClr w14:val="tx1"/>
                  </w14:solidFill>
                </w14:textFill>
              </w:rPr>
              <w:t>投标时间：</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2024年12月24日10:00-16:00</w:t>
            </w:r>
          </w:p>
          <w:p w14:paraId="7628B6AD">
            <w:pPr>
              <w:pStyle w:val="11"/>
              <w:spacing w:before="109" w:line="240" w:lineRule="auto"/>
              <w:ind w:left="1"/>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⑤</w:t>
            </w:r>
            <w:r>
              <w:rPr>
                <w:rFonts w:hint="eastAsia" w:ascii="仿宋_GB2312" w:hAnsi="仿宋_GB2312" w:eastAsia="仿宋_GB2312" w:cs="仿宋_GB2312"/>
                <w:color w:val="000000" w:themeColor="text1"/>
                <w:sz w:val="30"/>
                <w:szCs w:val="30"/>
                <w14:textFill>
                  <w14:solidFill>
                    <w14:schemeClr w14:val="tx1"/>
                  </w14:solidFill>
                </w14:textFill>
              </w:rPr>
              <w:t>开标时间：</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2024年12月24日16:30</w:t>
            </w:r>
          </w:p>
          <w:p w14:paraId="2D9305A1">
            <w:pPr>
              <w:pStyle w:val="11"/>
              <w:spacing w:before="109" w:line="240" w:lineRule="auto"/>
              <w:ind w:left="1"/>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上述时间、地点如有变动，以招标人的通知为准。</w:t>
            </w:r>
          </w:p>
        </w:tc>
      </w:tr>
      <w:tr w14:paraId="3EC2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319" w:type="pct"/>
            <w:tcBorders>
              <w:tl2br w:val="nil"/>
              <w:tr2bl w:val="nil"/>
            </w:tcBorders>
            <w:vAlign w:val="top"/>
          </w:tcPr>
          <w:p w14:paraId="34EA172D">
            <w:pPr>
              <w:pStyle w:val="11"/>
              <w:spacing w:before="1"/>
              <w:jc w:val="center"/>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14:paraId="0A49EFFA">
            <w:pPr>
              <w:pStyle w:val="11"/>
              <w:spacing w:before="1"/>
              <w:jc w:val="center"/>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p>
        </w:tc>
        <w:tc>
          <w:tcPr>
            <w:tcW w:w="4680" w:type="pct"/>
            <w:gridSpan w:val="2"/>
            <w:tcBorders>
              <w:tl2br w:val="nil"/>
              <w:tr2bl w:val="nil"/>
            </w:tcBorders>
          </w:tcPr>
          <w:p w14:paraId="6704F287">
            <w:pPr>
              <w:pStyle w:val="11"/>
              <w:tabs>
                <w:tab w:val="left" w:pos="2560"/>
                <w:tab w:val="left" w:pos="6400"/>
              </w:tabs>
              <w:spacing w:before="97" w:line="240" w:lineRule="auto"/>
              <w:ind w:left="2561" w:right="0" w:hanging="2559"/>
              <w:rPr>
                <w:rFonts w:hint="eastAsia" w:ascii="仿宋_GB2312" w:hAnsi="仿宋_GB2312" w:eastAsia="仿宋_GB2312" w:cs="仿宋_GB2312"/>
                <w:color w:val="000000" w:themeColor="text1"/>
                <w:spacing w:val="-6"/>
                <w:sz w:val="30"/>
                <w:szCs w:val="30"/>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投标答疑联系人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pacing w:val="-6"/>
                <w:sz w:val="30"/>
                <w:szCs w:val="30"/>
                <w:highlight w:val="yellow"/>
                <w:u w:val="single"/>
                <w:lang w:val="en-US" w:eastAsia="zh-CN"/>
                <w14:textFill>
                  <w14:solidFill>
                    <w14:schemeClr w14:val="tx1"/>
                  </w14:solidFill>
                </w14:textFill>
              </w:rPr>
              <w:t xml:space="preserve">   罗玺    电话：18887058053          </w:t>
            </w:r>
          </w:p>
          <w:p w14:paraId="631B81FE">
            <w:pPr>
              <w:pStyle w:val="11"/>
              <w:tabs>
                <w:tab w:val="left" w:pos="2560"/>
                <w:tab w:val="left" w:pos="6400"/>
              </w:tabs>
              <w:spacing w:before="97" w:line="240" w:lineRule="auto"/>
              <w:ind w:left="2783" w:leftChars="1052" w:right="0" w:hanging="469" w:hangingChars="163"/>
              <w:rPr>
                <w:rFonts w:hint="eastAsia" w:ascii="仿宋_GB2312" w:hAnsi="仿宋_GB2312" w:eastAsia="仿宋_GB2312" w:cs="仿宋_GB2312"/>
                <w:color w:val="000000" w:themeColor="text1"/>
                <w:spacing w:val="-6"/>
                <w:sz w:val="30"/>
                <w:szCs w:val="30"/>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0"/>
                <w:szCs w:val="30"/>
                <w:highlight w:val="yellow"/>
                <w:u w:val="single"/>
                <w:lang w:val="en-US" w:eastAsia="zh-CN"/>
                <w14:textFill>
                  <w14:solidFill>
                    <w14:schemeClr w14:val="tx1"/>
                  </w14:solidFill>
                </w14:textFill>
              </w:rPr>
              <w:t xml:space="preserve">  高海丽    电话：15087496147         </w:t>
            </w:r>
          </w:p>
        </w:tc>
      </w:tr>
      <w:tr w14:paraId="1749E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4" w:hRule="atLeast"/>
        </w:trPr>
        <w:tc>
          <w:tcPr>
            <w:tcW w:w="319" w:type="pct"/>
            <w:tcBorders>
              <w:tl2br w:val="nil"/>
              <w:tr2bl w:val="nil"/>
            </w:tcBorders>
          </w:tcPr>
          <w:p w14:paraId="1AFAD27D">
            <w:pPr>
              <w:pStyle w:val="11"/>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0FA47CF2">
            <w:pPr>
              <w:pStyle w:val="11"/>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54E8618E">
            <w:pPr>
              <w:pStyle w:val="11"/>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45F9F9DF">
            <w:pPr>
              <w:pStyle w:val="11"/>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4B8DFC22">
            <w:pPr>
              <w:pStyle w:val="11"/>
              <w:spacing w:before="18"/>
              <w:jc w:val="center"/>
              <w:rPr>
                <w:rFonts w:hint="eastAsia" w:ascii="仿宋_GB2312" w:hAnsi="仿宋_GB2312" w:eastAsia="仿宋_GB2312" w:cs="仿宋_GB2312"/>
                <w:b/>
                <w:color w:val="000000" w:themeColor="text1"/>
                <w:sz w:val="30"/>
                <w:szCs w:val="30"/>
                <w14:textFill>
                  <w14:solidFill>
                    <w14:schemeClr w14:val="tx1"/>
                  </w14:solidFill>
                </w14:textFill>
              </w:rPr>
            </w:pPr>
          </w:p>
          <w:p w14:paraId="2557D556">
            <w:pPr>
              <w:pStyle w:val="11"/>
              <w:ind w:left="120"/>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w w:val="99"/>
                <w:sz w:val="30"/>
                <w:szCs w:val="30"/>
                <w14:textFill>
                  <w14:solidFill>
                    <w14:schemeClr w14:val="tx1"/>
                  </w14:solidFill>
                </w14:textFill>
              </w:rPr>
              <w:t>4</w:t>
            </w:r>
          </w:p>
        </w:tc>
        <w:tc>
          <w:tcPr>
            <w:tcW w:w="4680" w:type="pct"/>
            <w:gridSpan w:val="2"/>
            <w:tcBorders>
              <w:tl2br w:val="nil"/>
              <w:tr2bl w:val="nil"/>
            </w:tcBorders>
          </w:tcPr>
          <w:p w14:paraId="14C767D4">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投标人资质要求</w:t>
            </w:r>
          </w:p>
          <w:p w14:paraId="11291892">
            <w:pPr>
              <w:bidi w:val="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在中华人民共和国境内注册的具有运输许可资质的企业单位、</w:t>
            </w:r>
          </w:p>
          <w:p w14:paraId="7F9C001E">
            <w:pPr>
              <w:bidi w:val="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经济实体和个体工商户，自然人。且未列入温氏集团运输黑名单围；</w:t>
            </w:r>
          </w:p>
          <w:p w14:paraId="542F1ACF">
            <w:pPr>
              <w:bidi w:val="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保证确实拥有车辆的所有权或合法的使用权，并在国家规定的时间内负责办理有关车辆登记、年审、缴费、备案等有关法律、法规、规章及政策要求的手续；</w:t>
            </w:r>
          </w:p>
          <w:p w14:paraId="36FCD09A">
            <w:pPr>
              <w:bidi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投标人必须保证充足的运力（</w:t>
            </w:r>
            <w:r>
              <w:rPr>
                <w:rFonts w:hint="eastAsia" w:ascii="仿宋_GB2312" w:hAnsi="仿宋_GB2312" w:eastAsia="仿宋_GB2312" w:cs="仿宋_GB2312"/>
                <w:sz w:val="30"/>
                <w:szCs w:val="30"/>
                <w:highlight w:val="yellow"/>
                <w:lang w:val="en-US" w:eastAsia="zh-CN"/>
              </w:rPr>
              <w:t>至少两台9.6米恒温车，三台6.8米/7.4米恒温车），车辆配置数量需要满足招标人的运输需求；</w:t>
            </w:r>
          </w:p>
          <w:p w14:paraId="2BEF56F3">
            <w:pPr>
              <w:bidi w:val="0"/>
              <w:rPr>
                <w:rFonts w:hint="eastAsia"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lang w:val="en-US" w:eastAsia="zh-CN"/>
              </w:rPr>
              <w:t>投标人配置的运输车辆必须</w:t>
            </w:r>
            <w:r>
              <w:rPr>
                <w:rFonts w:hint="eastAsia" w:ascii="仿宋_GB2312" w:hAnsi="仿宋_GB2312" w:eastAsia="仿宋_GB2312" w:cs="仿宋_GB2312"/>
                <w:sz w:val="30"/>
                <w:szCs w:val="30"/>
                <w:highlight w:val="yellow"/>
                <w:lang w:val="en-US" w:eastAsia="zh-CN"/>
              </w:rPr>
              <w:t>为专业猪只运输车辆，具备</w:t>
            </w:r>
            <w:r>
              <w:rPr>
                <w:rFonts w:hint="eastAsia" w:ascii="仿宋_GB2312" w:hAnsi="仿宋_GB2312" w:eastAsia="仿宋_GB2312" w:cs="仿宋_GB2312"/>
                <w:sz w:val="30"/>
                <w:szCs w:val="30"/>
                <w:highlight w:val="yellow"/>
                <w:lang w:eastAsia="zh-CN"/>
              </w:rPr>
              <w:t>机房、空气过滤系统、空调系统、供暖系统、自动调温系统、监控系统、喷淋降温系统、尾部垂直液压升降系统、照明系统、饮水系统，</w:t>
            </w:r>
            <w:r>
              <w:rPr>
                <w:rFonts w:hint="eastAsia" w:ascii="仿宋_GB2312" w:hAnsi="仿宋_GB2312" w:eastAsia="仿宋_GB2312" w:cs="仿宋_GB2312"/>
                <w:sz w:val="30"/>
                <w:szCs w:val="30"/>
                <w:highlight w:val="yellow"/>
                <w:lang w:val="en-US" w:eastAsia="zh-CN"/>
              </w:rPr>
              <w:t>并自费安装云南养猪公司指定的行车记录仪、车载GPS。</w:t>
            </w:r>
          </w:p>
          <w:p w14:paraId="14475165">
            <w:pPr>
              <w:bidi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(5)自行增加</w:t>
            </w:r>
          </w:p>
          <w:p w14:paraId="5C117662">
            <w:pPr>
              <w:pStyle w:val="11"/>
              <w:widowControl w:val="0"/>
              <w:numPr>
                <w:ilvl w:val="0"/>
                <w:numId w:val="0"/>
              </w:numPr>
              <w:autoSpaceDE w:val="0"/>
              <w:autoSpaceDN w:val="0"/>
              <w:spacing w:before="65" w:after="0" w:line="240" w:lineRule="auto"/>
              <w:ind w:right="0" w:rightChars="0"/>
              <w:jc w:val="left"/>
              <w:rPr>
                <w:rFonts w:hint="eastAsia" w:ascii="仿宋_GB2312" w:hAnsi="仿宋_GB2312" w:eastAsia="仿宋_GB2312" w:cs="仿宋_GB2312"/>
                <w:color w:val="000000" w:themeColor="text1"/>
                <w:w w:val="95"/>
                <w:sz w:val="30"/>
                <w:szCs w:val="30"/>
                <w:lang w:val="en-US" w:eastAsia="zh-CN"/>
                <w14:textFill>
                  <w14:solidFill>
                    <w14:schemeClr w14:val="tx1"/>
                  </w14:solidFill>
                </w14:textFill>
              </w:rPr>
            </w:pPr>
          </w:p>
          <w:p w14:paraId="4B2413A2">
            <w:pPr>
              <w:pStyle w:val="11"/>
              <w:numPr>
                <w:ilvl w:val="0"/>
                <w:numId w:val="0"/>
              </w:numPr>
              <w:tabs>
                <w:tab w:val="left" w:pos="803"/>
              </w:tabs>
              <w:spacing w:before="70" w:after="0" w:line="240" w:lineRule="auto"/>
              <w:ind w:right="112" w:rightChars="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所有承运车辆均须遵守招标人对应公司的防疫要求</w:t>
            </w:r>
            <w:r>
              <w:rPr>
                <w:rFonts w:hint="eastAsia" w:ascii="仿宋_GB2312" w:hAnsi="仿宋_GB2312" w:eastAsia="仿宋_GB2312" w:cs="仿宋_GB2312"/>
                <w:b/>
                <w:color w:val="000000" w:themeColor="text1"/>
                <w:sz w:val="30"/>
                <w:szCs w:val="30"/>
                <w:lang w:eastAsia="zh-CN"/>
                <w14:textFill>
                  <w14:solidFill>
                    <w14:schemeClr w14:val="tx1"/>
                  </w14:solidFill>
                </w14:textFill>
              </w:rPr>
              <w:t>；</w:t>
            </w:r>
          </w:p>
        </w:tc>
      </w:tr>
    </w:tbl>
    <w:p w14:paraId="5237019B">
      <w:pPr>
        <w:pStyle w:val="4"/>
        <w:spacing w:line="240" w:lineRule="auto"/>
        <w:ind w:left="0" w:right="0"/>
        <w:jc w:val="both"/>
        <w:sectPr>
          <w:pgSz w:w="11910" w:h="16840"/>
          <w:pgMar w:top="1440" w:right="720" w:bottom="1380" w:left="1100" w:header="0" w:footer="1194" w:gutter="0"/>
          <w:pgBorders>
            <w:top w:val="none" w:sz="0" w:space="0"/>
            <w:left w:val="none" w:sz="0" w:space="0"/>
            <w:bottom w:val="none" w:sz="0" w:space="0"/>
            <w:right w:val="none" w:sz="0" w:space="0"/>
          </w:pgBorders>
          <w:cols w:space="720" w:num="1"/>
        </w:sectPr>
      </w:pPr>
    </w:p>
    <w:p w14:paraId="62467FED">
      <w:pPr>
        <w:keepNext w:val="0"/>
        <w:keepLines w:val="0"/>
        <w:pageBreakBefore w:val="0"/>
        <w:widowControl w:val="0"/>
        <w:kinsoku/>
        <w:wordWrap/>
        <w:overflowPunct/>
        <w:topLinePunct w:val="0"/>
        <w:bidi w:val="0"/>
        <w:adjustRightInd/>
        <w:snapToGrid/>
        <w:spacing w:before="0" w:line="508" w:lineRule="exact"/>
        <w:ind w:right="0" w:firstLine="602" w:firstLineChars="200"/>
        <w:jc w:val="left"/>
        <w:textAlignment w:val="auto"/>
        <w:rPr>
          <w:rFonts w:hint="eastAsia" w:ascii="仿宋_GB2312" w:hAnsi="仿宋_GB2312" w:eastAsia="仿宋_GB2312" w:cs="仿宋_GB2312"/>
          <w:b/>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（一）保密责任</w:t>
      </w:r>
      <w:r>
        <w:drawing>
          <wp:anchor distT="0" distB="0" distL="114300" distR="114300" simplePos="0" relativeHeight="251661312" behindDoc="0" locked="0" layoutInCell="1" allowOverlap="1">
            <wp:simplePos x="0" y="0"/>
            <wp:positionH relativeFrom="column">
              <wp:posOffset>5601335</wp:posOffset>
            </wp:positionH>
            <wp:positionV relativeFrom="paragraph">
              <wp:posOffset>-547370</wp:posOffset>
            </wp:positionV>
            <wp:extent cx="646430" cy="431800"/>
            <wp:effectExtent l="0" t="0" r="1270" b="6350"/>
            <wp:wrapSquare wrapText="bothSides"/>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46430" cy="431800"/>
                    </a:xfrm>
                    <a:prstGeom prst="rect">
                      <a:avLst/>
                    </a:prstGeom>
                  </pic:spPr>
                </pic:pic>
              </a:graphicData>
            </a:graphic>
          </wp:anchor>
        </w:drawing>
      </w:r>
    </w:p>
    <w:p w14:paraId="09531844">
      <w:pPr>
        <w:pStyle w:val="6"/>
        <w:keepNext w:val="0"/>
        <w:keepLines w:val="0"/>
        <w:pageBreakBefore w:val="0"/>
        <w:widowControl w:val="0"/>
        <w:kinsoku/>
        <w:wordWrap/>
        <w:overflowPunct/>
        <w:topLinePunct w:val="0"/>
        <w:bidi w:val="0"/>
        <w:adjustRightInd/>
        <w:snapToGrid/>
        <w:spacing w:before="0" w:line="280" w:lineRule="auto"/>
        <w:ind w:right="509" w:firstLine="64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pacing w:val="-8"/>
          <w:sz w:val="30"/>
          <w:szCs w:val="30"/>
          <w14:textFill>
            <w14:solidFill>
              <w14:schemeClr w14:val="tx1"/>
            </w14:solidFill>
          </w14:textFill>
        </w:rPr>
        <w:t>投标人对招标文件和相关资料必须承担保密责任。未经招标人的</w:t>
      </w:r>
      <w:r>
        <w:rPr>
          <w:rFonts w:hint="eastAsia" w:ascii="仿宋_GB2312" w:hAnsi="仿宋_GB2312" w:eastAsia="仿宋_GB2312" w:cs="仿宋_GB2312"/>
          <w:color w:val="000000" w:themeColor="text1"/>
          <w:spacing w:val="-14"/>
          <w:sz w:val="30"/>
          <w:szCs w:val="30"/>
          <w14:textFill>
            <w14:solidFill>
              <w14:schemeClr w14:val="tx1"/>
            </w14:solidFill>
          </w14:textFill>
        </w:rPr>
        <w:t>书面同意，不得向任何第三方以任何方式泄露。如有违反，将承担一切法律责任和后果。</w:t>
      </w:r>
    </w:p>
    <w:p w14:paraId="70965221">
      <w:pPr>
        <w:pStyle w:val="4"/>
        <w:keepNext w:val="0"/>
        <w:keepLines w:val="0"/>
        <w:pageBreakBefore w:val="0"/>
        <w:widowControl w:val="0"/>
        <w:kinsoku/>
        <w:wordWrap/>
        <w:overflowPunct/>
        <w:topLinePunct w:val="0"/>
        <w:bidi w:val="0"/>
        <w:adjustRightInd/>
        <w:snapToGrid/>
        <w:spacing w:before="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（二）标的合同期限</w:t>
      </w:r>
    </w:p>
    <w:p w14:paraId="473F7441">
      <w:pPr>
        <w:pStyle w:val="6"/>
        <w:keepNext w:val="0"/>
        <w:keepLines w:val="0"/>
        <w:pageBreakBefore w:val="0"/>
        <w:widowControl w:val="0"/>
        <w:kinsoku/>
        <w:wordWrap/>
        <w:overflowPunct/>
        <w:topLinePunct w:val="0"/>
        <w:bidi w:val="0"/>
        <w:adjustRightInd/>
        <w:snapToGrid/>
        <w:spacing w:before="0" w:line="391" w:lineRule="exact"/>
        <w:ind w:firstLine="600" w:firstLineChars="200"/>
        <w:textAlignment w:val="auto"/>
        <w:rPr>
          <w:rFonts w:hint="eastAsia" w:ascii="仿宋_GB2312" w:hAnsi="仿宋_GB2312" w:eastAsia="仿宋_GB2312" w:cs="仿宋_GB2312"/>
          <w:color w:val="000000" w:themeColor="text1"/>
          <w:sz w:val="30"/>
          <w:szCs w:val="30"/>
          <w:highlight w:val="yellow"/>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本次招投标合同期限为</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202</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年</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月</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日至202</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年</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月</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31</w:t>
      </w:r>
      <w:r>
        <w:rPr>
          <w:rFonts w:hint="eastAsia" w:ascii="仿宋_GB2312" w:hAnsi="仿宋_GB2312" w:eastAsia="仿宋_GB2312" w:cs="仿宋_GB2312"/>
          <w:color w:val="000000" w:themeColor="text1"/>
          <w:sz w:val="30"/>
          <w:szCs w:val="30"/>
          <w:highlight w:val="yellow"/>
          <w:u w:val="single"/>
          <w14:textFill>
            <w14:solidFill>
              <w14:schemeClr w14:val="tx1"/>
            </w14:solidFill>
          </w14:textFill>
        </w:rPr>
        <w:t>日</w:t>
      </w:r>
      <w:r>
        <w:rPr>
          <w:rFonts w:hint="eastAsia" w:ascii="仿宋_GB2312" w:hAnsi="仿宋_GB2312" w:eastAsia="仿宋_GB2312" w:cs="仿宋_GB2312"/>
          <w:color w:val="000000" w:themeColor="text1"/>
          <w:sz w:val="30"/>
          <w:szCs w:val="30"/>
          <w:highlight w:val="yellow"/>
          <w14:textFill>
            <w14:solidFill>
              <w14:schemeClr w14:val="tx1"/>
            </w14:solidFill>
          </w14:textFill>
        </w:rPr>
        <w:t>。</w:t>
      </w:r>
    </w:p>
    <w:p w14:paraId="0F9E6F95">
      <w:pPr>
        <w:pStyle w:val="4"/>
        <w:keepNext w:val="0"/>
        <w:keepLines w:val="0"/>
        <w:pageBreakBefore w:val="0"/>
        <w:widowControl w:val="0"/>
        <w:kinsoku/>
        <w:wordWrap/>
        <w:overflowPunct/>
        <w:topLinePunct w:val="0"/>
        <w:bidi w:val="0"/>
        <w:adjustRightInd/>
        <w:snapToGrid/>
        <w:spacing w:before="0" w:line="569" w:lineRule="exac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（三）招标原则</w:t>
      </w:r>
    </w:p>
    <w:p w14:paraId="6785EEDE">
      <w:pPr>
        <w:keepNext w:val="0"/>
        <w:keepLines w:val="0"/>
        <w:pageBreakBefore w:val="0"/>
        <w:widowControl w:val="0"/>
        <w:kinsoku/>
        <w:wordWrap/>
        <w:overflowPunct/>
        <w:topLinePunct w:val="0"/>
        <w:bidi w:val="0"/>
        <w:adjustRightInd/>
        <w:snapToGrid/>
        <w:spacing w:before="0"/>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招标人在按照公开、公平、公正和诚实信用的原则对投标人的投标进行综合评价，择优选取中标人。</w:t>
      </w:r>
    </w:p>
    <w:p w14:paraId="407B399F">
      <w:pPr>
        <w:pStyle w:val="4"/>
        <w:keepNext w:val="0"/>
        <w:keepLines w:val="0"/>
        <w:pageBreakBefore w:val="0"/>
        <w:widowControl w:val="0"/>
        <w:kinsoku/>
        <w:wordWrap/>
        <w:overflowPunct/>
        <w:topLinePunct w:val="0"/>
        <w:bidi w:val="0"/>
        <w:adjustRightInd/>
        <w:snapToGrid/>
        <w:spacing w:before="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（四）招标人权利</w:t>
      </w:r>
    </w:p>
    <w:p w14:paraId="56840ECB">
      <w:pPr>
        <w:pStyle w:val="6"/>
        <w:keepNext w:val="0"/>
        <w:keepLines w:val="0"/>
        <w:pageBreakBefore w:val="0"/>
        <w:widowControl w:val="0"/>
        <w:kinsoku/>
        <w:wordWrap/>
        <w:overflowPunct/>
        <w:topLinePunct w:val="0"/>
        <w:bidi w:val="0"/>
        <w:adjustRightInd/>
        <w:snapToGrid/>
        <w:spacing w:before="0" w:line="280" w:lineRule="auto"/>
        <w:ind w:right="509" w:firstLine="561"/>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1、招标人在合同协议书签署前的任何时候保留接受或不接受投标人投标文件的权利，并且无须对受影响的投标人承担任何责任。</w:t>
      </w:r>
    </w:p>
    <w:p w14:paraId="287C6F27">
      <w:pPr>
        <w:pStyle w:val="6"/>
        <w:keepNext w:val="0"/>
        <w:keepLines w:val="0"/>
        <w:pageBreakBefore w:val="0"/>
        <w:widowControl w:val="0"/>
        <w:kinsoku/>
        <w:wordWrap/>
        <w:overflowPunct/>
        <w:topLinePunct w:val="0"/>
        <w:bidi w:val="0"/>
        <w:adjustRightInd/>
        <w:snapToGrid/>
        <w:spacing w:before="0"/>
        <w:ind w:left="69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2、招标人对投标人的报价及服务条件拥有最终选择权。</w:t>
      </w:r>
    </w:p>
    <w:p w14:paraId="2B10AECA">
      <w:pPr>
        <w:pStyle w:val="6"/>
        <w:keepNext w:val="0"/>
        <w:keepLines w:val="0"/>
        <w:pageBreakBefore w:val="0"/>
        <w:widowControl w:val="0"/>
        <w:kinsoku/>
        <w:wordWrap/>
        <w:overflowPunct/>
        <w:topLinePunct w:val="0"/>
        <w:bidi w:val="0"/>
        <w:adjustRightInd/>
        <w:snapToGrid/>
        <w:spacing w:before="0" w:line="392" w:lineRule="exact"/>
        <w:ind w:left="69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3、招标人对招标文件拥有最终解释权。</w:t>
      </w:r>
    </w:p>
    <w:p w14:paraId="4EA8B69D">
      <w:pPr>
        <w:pStyle w:val="4"/>
        <w:keepNext w:val="0"/>
        <w:keepLines w:val="0"/>
        <w:pageBreakBefore w:val="0"/>
        <w:widowControl w:val="0"/>
        <w:kinsoku/>
        <w:wordWrap/>
        <w:overflowPunct/>
        <w:topLinePunct w:val="0"/>
        <w:bidi w:val="0"/>
        <w:adjustRightInd/>
        <w:snapToGrid/>
        <w:spacing w:before="0" w:line="569" w:lineRule="exac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（五）投标</w:t>
      </w:r>
    </w:p>
    <w:p w14:paraId="2A8B58C0">
      <w:pPr>
        <w:keepNext w:val="0"/>
        <w:keepLines w:val="0"/>
        <w:pageBreakBefore w:val="0"/>
        <w:widowControl w:val="0"/>
        <w:kinsoku/>
        <w:wordWrap/>
        <w:overflowPunct/>
        <w:topLinePunct w:val="0"/>
        <w:bidi w:val="0"/>
        <w:adjustRightInd/>
        <w:snapToGrid/>
        <w:spacing w:before="0"/>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本招标文件是本次招标的基础性文件，也是最终签署运输合同的重要组成部分，投标人必须基于投标文件内容提供投标报价及编制投标文件。</w:t>
      </w:r>
    </w:p>
    <w:p w14:paraId="28ED9D3A">
      <w:pPr>
        <w:pStyle w:val="4"/>
        <w:keepNext w:val="0"/>
        <w:keepLines w:val="0"/>
        <w:pageBreakBefore w:val="0"/>
        <w:widowControl w:val="0"/>
        <w:kinsoku/>
        <w:wordWrap/>
        <w:overflowPunct/>
        <w:topLinePunct w:val="0"/>
        <w:bidi w:val="0"/>
        <w:adjustRightInd/>
        <w:snapToGrid/>
        <w:spacing w:before="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（六）投标保证金</w:t>
      </w:r>
    </w:p>
    <w:p w14:paraId="02FEE5DE">
      <w:pPr>
        <w:pStyle w:val="6"/>
        <w:keepNext w:val="0"/>
        <w:keepLines w:val="0"/>
        <w:pageBreakBefore w:val="0"/>
        <w:widowControl w:val="0"/>
        <w:kinsoku/>
        <w:wordWrap/>
        <w:overflowPunct/>
        <w:topLinePunct w:val="0"/>
        <w:bidi w:val="0"/>
        <w:adjustRightInd/>
        <w:snapToGrid/>
        <w:spacing w:before="0" w:line="409" w:lineRule="exact"/>
        <w:ind w:left="69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投标人应按前附表要求足额、及时提交投标保证金。</w:t>
      </w:r>
    </w:p>
    <w:p w14:paraId="68FABD5D">
      <w:pPr>
        <w:pStyle w:val="6"/>
        <w:keepNext w:val="0"/>
        <w:keepLines w:val="0"/>
        <w:pageBreakBefore w:val="0"/>
        <w:widowControl w:val="0"/>
        <w:kinsoku/>
        <w:wordWrap/>
        <w:overflowPunct/>
        <w:topLinePunct w:val="0"/>
        <w:bidi w:val="0"/>
        <w:adjustRightInd/>
        <w:snapToGrid/>
        <w:spacing w:before="0" w:line="280" w:lineRule="auto"/>
        <w:ind w:right="509" w:firstLine="561"/>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对于未能按要求提交投标保证金的投标文件，招标人应视为不响应招标文件而予以拒绝；</w:t>
      </w:r>
    </w:p>
    <w:p w14:paraId="60623B58">
      <w:pPr>
        <w:pStyle w:val="6"/>
        <w:keepNext w:val="0"/>
        <w:keepLines w:val="0"/>
        <w:pageBreakBefore w:val="0"/>
        <w:widowControl w:val="0"/>
        <w:kinsoku/>
        <w:wordWrap/>
        <w:overflowPunct/>
        <w:topLinePunct w:val="0"/>
        <w:bidi w:val="0"/>
        <w:adjustRightInd/>
        <w:snapToGrid/>
        <w:spacing w:before="0" w:line="280" w:lineRule="auto"/>
        <w:ind w:right="509" w:firstLine="561"/>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pacing w:val="3"/>
          <w:sz w:val="30"/>
          <w:szCs w:val="30"/>
          <w14:textFill>
            <w14:solidFill>
              <w14:schemeClr w14:val="tx1"/>
            </w14:solidFill>
          </w14:textFill>
        </w:rPr>
        <w:t>3</w:t>
      </w:r>
      <w:r>
        <w:rPr>
          <w:rFonts w:hint="eastAsia" w:ascii="仿宋_GB2312" w:hAnsi="仿宋_GB2312" w:eastAsia="仿宋_GB2312" w:cs="仿宋_GB2312"/>
          <w:color w:val="000000" w:themeColor="text1"/>
          <w:spacing w:val="3"/>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pacing w:val="-1"/>
          <w:sz w:val="30"/>
          <w:szCs w:val="30"/>
          <w14:textFill>
            <w14:solidFill>
              <w14:schemeClr w14:val="tx1"/>
            </w14:solidFill>
          </w14:textFill>
        </w:rPr>
        <w:t>未中标人的投标保证金，在开标日期后</w:t>
      </w:r>
      <w:r>
        <w:rPr>
          <w:rFonts w:hint="eastAsia" w:ascii="仿宋_GB2312" w:hAnsi="仿宋_GB2312" w:eastAsia="仿宋_GB2312" w:cs="仿宋_GB2312"/>
          <w:color w:val="000000" w:themeColor="text1"/>
          <w:spacing w:val="-1"/>
          <w:sz w:val="30"/>
          <w:szCs w:val="30"/>
          <w:lang w:val="en-US" w:eastAsia="zh-CN"/>
          <w14:textFill>
            <w14:solidFill>
              <w14:schemeClr w14:val="tx1"/>
            </w14:solidFill>
          </w14:textFill>
        </w:rPr>
        <w:t>十五</w:t>
      </w:r>
      <w:r>
        <w:rPr>
          <w:rFonts w:hint="eastAsia" w:ascii="仿宋_GB2312" w:hAnsi="仿宋_GB2312" w:eastAsia="仿宋_GB2312" w:cs="仿宋_GB2312"/>
          <w:color w:val="000000" w:themeColor="text1"/>
          <w:spacing w:val="-1"/>
          <w:sz w:val="30"/>
          <w:szCs w:val="30"/>
          <w14:textFill>
            <w14:solidFill>
              <w14:schemeClr w14:val="tx1"/>
            </w14:solidFill>
          </w14:textFill>
        </w:rPr>
        <w:t>个工作日内</w:t>
      </w:r>
      <w:r>
        <w:rPr>
          <w:rFonts w:hint="eastAsia" w:ascii="仿宋_GB2312" w:hAnsi="仿宋_GB2312" w:eastAsia="仿宋_GB2312" w:cs="仿宋_GB2312"/>
          <w:color w:val="000000" w:themeColor="text1"/>
          <w:spacing w:val="-8"/>
          <w:sz w:val="30"/>
          <w:szCs w:val="30"/>
          <w14:textFill>
            <w14:solidFill>
              <w14:schemeClr w14:val="tx1"/>
            </w14:solidFill>
          </w14:textFill>
        </w:rPr>
        <w:t>进行退还处理。</w:t>
      </w:r>
    </w:p>
    <w:p w14:paraId="2307B199">
      <w:pPr>
        <w:pStyle w:val="6"/>
        <w:keepNext w:val="0"/>
        <w:keepLines w:val="0"/>
        <w:pageBreakBefore w:val="0"/>
        <w:widowControl w:val="0"/>
        <w:kinsoku/>
        <w:wordWrap/>
        <w:overflowPunct/>
        <w:topLinePunct w:val="0"/>
        <w:bidi w:val="0"/>
        <w:adjustRightInd/>
        <w:snapToGrid/>
        <w:spacing w:before="0" w:line="280" w:lineRule="auto"/>
        <w:ind w:right="509" w:firstLine="561"/>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4</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中标人的投标保证金，在正式签订合同后转为合同保证金的一部分。</w:t>
      </w:r>
    </w:p>
    <w:p w14:paraId="6B71C656">
      <w:pPr>
        <w:pStyle w:val="6"/>
        <w:keepNext w:val="0"/>
        <w:keepLines w:val="0"/>
        <w:pageBreakBefore w:val="0"/>
        <w:widowControl w:val="0"/>
        <w:kinsoku/>
        <w:wordWrap/>
        <w:overflowPunct/>
        <w:topLinePunct w:val="0"/>
        <w:bidi w:val="0"/>
        <w:adjustRightInd/>
        <w:snapToGrid/>
        <w:spacing w:before="0"/>
        <w:ind w:left="69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5</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如有下列情形之一的，将不予以退还投标保证金：</w:t>
      </w:r>
    </w:p>
    <w:p w14:paraId="65CD32D2">
      <w:pPr>
        <w:pStyle w:val="6"/>
        <w:keepNext w:val="0"/>
        <w:keepLines w:val="0"/>
        <w:pageBreakBefore w:val="0"/>
        <w:widowControl w:val="0"/>
        <w:kinsoku/>
        <w:wordWrap/>
        <w:overflowPunct/>
        <w:topLinePunct w:val="0"/>
        <w:bidi w:val="0"/>
        <w:adjustRightInd/>
        <w:snapToGrid/>
        <w:spacing w:before="0"/>
        <w:ind w:left="0" w:leftChars="0" w:firstLine="0" w:firstLine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中标人未能在招标人规定的时间内与招标人签署运输合同或中标后弃标；</w:t>
      </w:r>
    </w:p>
    <w:p w14:paraId="645A7416">
      <w:pPr>
        <w:pStyle w:val="10"/>
        <w:keepNext w:val="0"/>
        <w:keepLines w:val="0"/>
        <w:pageBreakBefore w:val="0"/>
        <w:widowControl w:val="0"/>
        <w:numPr>
          <w:ilvl w:val="0"/>
          <w:numId w:val="2"/>
        </w:numPr>
        <w:tabs>
          <w:tab w:val="left" w:pos="1251"/>
        </w:tabs>
        <w:kinsoku/>
        <w:wordWrap/>
        <w:overflowPunct/>
        <w:topLinePunct w:val="0"/>
        <w:bidi w:val="0"/>
        <w:adjustRightInd/>
        <w:snapToGrid/>
        <w:spacing w:before="0" w:after="0" w:line="240" w:lineRule="auto"/>
        <w:ind w:left="1250" w:right="0" w:hanging="80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投标人在投标截止日期后单方擅自对投标文件做实质性修改。</w:t>
      </w:r>
    </w:p>
    <w:p w14:paraId="64ADDC48">
      <w:pPr>
        <w:pStyle w:val="10"/>
        <w:keepNext w:val="0"/>
        <w:keepLines w:val="0"/>
        <w:pageBreakBefore w:val="0"/>
        <w:widowControl w:val="0"/>
        <w:numPr>
          <w:ilvl w:val="0"/>
          <w:numId w:val="2"/>
        </w:numPr>
        <w:tabs>
          <w:tab w:val="left" w:pos="1251"/>
        </w:tabs>
        <w:kinsoku/>
        <w:wordWrap/>
        <w:overflowPunct/>
        <w:topLinePunct w:val="0"/>
        <w:bidi w:val="0"/>
        <w:adjustRightInd/>
        <w:snapToGrid/>
        <w:spacing w:before="0" w:after="0" w:line="392" w:lineRule="exact"/>
        <w:ind w:left="1250" w:right="0" w:hanging="80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未经招标人书面同意，投标人擅自透露招标文件内容。</w:t>
      </w:r>
    </w:p>
    <w:p w14:paraId="332B20AB">
      <w:pPr>
        <w:pStyle w:val="4"/>
        <w:keepNext w:val="0"/>
        <w:keepLines w:val="0"/>
        <w:pageBreakBefore w:val="0"/>
        <w:widowControl w:val="0"/>
        <w:kinsoku/>
        <w:wordWrap/>
        <w:overflowPunct/>
        <w:topLinePunct w:val="0"/>
        <w:bidi w:val="0"/>
        <w:adjustRightInd/>
        <w:snapToGrid/>
        <w:spacing w:before="0" w:line="569" w:lineRule="exact"/>
        <w:ind w:left="45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（七）投标文件的编制</w:t>
      </w:r>
    </w:p>
    <w:p w14:paraId="4C50BC5C">
      <w:pPr>
        <w:pStyle w:val="10"/>
        <w:keepNext w:val="0"/>
        <w:keepLines w:val="0"/>
        <w:pageBreakBefore w:val="0"/>
        <w:widowControl w:val="0"/>
        <w:numPr>
          <w:ilvl w:val="0"/>
          <w:numId w:val="0"/>
        </w:numPr>
        <w:tabs>
          <w:tab w:val="left" w:pos="1251"/>
        </w:tabs>
        <w:kinsoku/>
        <w:wordWrap/>
        <w:overflowPunct/>
        <w:topLinePunct w:val="0"/>
        <w:bidi w:val="0"/>
        <w:adjustRightInd/>
        <w:snapToGrid/>
        <w:spacing w:before="0" w:after="0" w:line="280" w:lineRule="auto"/>
        <w:ind w:left="440" w:leftChars="0" w:right="509" w:right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投标人必须严格按照招标文件规定的内容在网上招标平台报价。</w:t>
      </w:r>
    </w:p>
    <w:p w14:paraId="1D8018B5">
      <w:pPr>
        <w:pStyle w:val="10"/>
        <w:keepNext w:val="0"/>
        <w:keepLines w:val="0"/>
        <w:pageBreakBefore w:val="0"/>
        <w:widowControl w:val="0"/>
        <w:numPr>
          <w:ilvl w:val="0"/>
          <w:numId w:val="0"/>
        </w:numPr>
        <w:tabs>
          <w:tab w:val="left" w:pos="1251"/>
        </w:tabs>
        <w:kinsoku/>
        <w:wordWrap/>
        <w:overflowPunct/>
        <w:topLinePunct w:val="0"/>
        <w:bidi w:val="0"/>
        <w:adjustRightInd/>
        <w:snapToGrid/>
        <w:spacing w:before="0" w:after="0" w:line="280" w:lineRule="auto"/>
        <w:ind w:left="440" w:leftChars="0" w:right="509" w:rightChars="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14:textFill>
            <w14:solidFill>
              <w14:schemeClr w14:val="tx1"/>
            </w14:solidFill>
          </w14:textFill>
        </w:rPr>
        <w:t>网上招标平台中的报价为含税价格，投标价不得超过最高限</w:t>
      </w:r>
      <w:r>
        <w:rPr>
          <w:rFonts w:hint="eastAsia" w:ascii="仿宋_GB2312" w:hAnsi="仿宋_GB2312" w:eastAsia="仿宋_GB2312" w:cs="仿宋_GB2312"/>
          <w:color w:val="000000" w:themeColor="text1"/>
          <w:spacing w:val="-14"/>
          <w:sz w:val="30"/>
          <w:szCs w:val="30"/>
          <w14:textFill>
            <w14:solidFill>
              <w14:schemeClr w14:val="tx1"/>
            </w14:solidFill>
          </w14:textFill>
        </w:rPr>
        <w:t>价，超出限价的作无效标处理。中标人结算运费时须提供正规运输发</w:t>
      </w:r>
      <w:r>
        <w:rPr>
          <w:rFonts w:hint="eastAsia" w:ascii="仿宋_GB2312" w:hAnsi="仿宋_GB2312" w:eastAsia="仿宋_GB2312" w:cs="仿宋_GB2312"/>
          <w:color w:val="000000" w:themeColor="text1"/>
          <w:spacing w:val="-15"/>
          <w:sz w:val="30"/>
          <w:szCs w:val="30"/>
          <w14:textFill>
            <w14:solidFill>
              <w14:schemeClr w14:val="tx1"/>
            </w14:solidFill>
          </w14:textFill>
        </w:rPr>
        <w:t>票。</w:t>
      </w:r>
      <w:r>
        <w:drawing>
          <wp:anchor distT="0" distB="0" distL="114300" distR="114300" simplePos="0" relativeHeight="251662336" behindDoc="0" locked="0" layoutInCell="1" allowOverlap="1">
            <wp:simplePos x="0" y="0"/>
            <wp:positionH relativeFrom="column">
              <wp:posOffset>5601335</wp:posOffset>
            </wp:positionH>
            <wp:positionV relativeFrom="paragraph">
              <wp:posOffset>-547370</wp:posOffset>
            </wp:positionV>
            <wp:extent cx="646430" cy="431800"/>
            <wp:effectExtent l="0" t="0" r="1270" b="6350"/>
            <wp:wrapSquare wrapText="bothSides"/>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46430" cy="431800"/>
                    </a:xfrm>
                    <a:prstGeom prst="rect">
                      <a:avLst/>
                    </a:prstGeom>
                  </pic:spPr>
                </pic:pic>
              </a:graphicData>
            </a:graphic>
          </wp:anchor>
        </w:drawing>
      </w:r>
    </w:p>
    <w:p w14:paraId="3F33BE9D">
      <w:pPr>
        <w:pStyle w:val="10"/>
        <w:keepNext w:val="0"/>
        <w:keepLines w:val="0"/>
        <w:pageBreakBefore w:val="0"/>
        <w:widowControl w:val="0"/>
        <w:numPr>
          <w:ilvl w:val="-1"/>
          <w:numId w:val="0"/>
        </w:numPr>
        <w:tabs>
          <w:tab w:val="left" w:pos="1251"/>
        </w:tabs>
        <w:kinsoku/>
        <w:wordWrap/>
        <w:overflowPunct/>
        <w:topLinePunct w:val="0"/>
        <w:bidi w:val="0"/>
        <w:adjustRightInd/>
        <w:snapToGrid/>
        <w:spacing w:before="0" w:line="240" w:lineRule="auto"/>
        <w:ind w:left="0"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未签订《投标承诺书》，投标视为无效，《投标承诺书》</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需盖章扫描上传至招投标平台。</w:t>
      </w:r>
    </w:p>
    <w:p w14:paraId="7DF56954">
      <w:pPr>
        <w:pStyle w:val="4"/>
        <w:keepNext w:val="0"/>
        <w:keepLines w:val="0"/>
        <w:pageBreakBefore w:val="0"/>
        <w:widowControl w:val="0"/>
        <w:kinsoku/>
        <w:wordWrap/>
        <w:overflowPunct/>
        <w:topLinePunct w:val="0"/>
        <w:bidi w:val="0"/>
        <w:adjustRightInd/>
        <w:snapToGrid/>
        <w:spacing w:before="0" w:line="569" w:lineRule="exact"/>
        <w:ind w:left="45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（八）开标</w:t>
      </w:r>
    </w:p>
    <w:p w14:paraId="287E8251">
      <w:pPr>
        <w:pStyle w:val="6"/>
        <w:keepNext w:val="0"/>
        <w:keepLines w:val="0"/>
        <w:pageBreakBefore w:val="0"/>
        <w:widowControl w:val="0"/>
        <w:kinsoku/>
        <w:wordWrap/>
        <w:overflowPunct/>
        <w:topLinePunct w:val="0"/>
        <w:bidi w:val="0"/>
        <w:adjustRightInd/>
        <w:snapToGrid/>
        <w:spacing w:before="0" w:line="280" w:lineRule="auto"/>
        <w:ind w:right="509" w:firstLine="42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1.按照开标时间计划，招标人将组织线下会议对本次招标活动进行现场开标，按</w:t>
      </w:r>
      <w:r>
        <w:rPr>
          <w:rFonts w:hint="eastAsia" w:ascii="仿宋_GB2312" w:hAnsi="仿宋_GB2312" w:eastAsia="仿宋_GB2312" w:cs="仿宋_GB2312"/>
          <w:color w:val="000000" w:themeColor="text1"/>
          <w:sz w:val="30"/>
          <w:szCs w:val="30"/>
          <w:lang w:eastAsia="zh-CN"/>
          <w14:textFill>
            <w14:solidFill>
              <w14:schemeClr w14:val="tx1"/>
            </w14:solidFill>
          </w14:textFill>
        </w:rPr>
        <w:t>《投标须知》规定已经拒绝的投标文件不在此列。</w:t>
      </w:r>
    </w:p>
    <w:p w14:paraId="4B9442F3">
      <w:pPr>
        <w:pStyle w:val="6"/>
        <w:keepNext w:val="0"/>
        <w:keepLines w:val="0"/>
        <w:pageBreakBefore w:val="0"/>
        <w:widowControl w:val="0"/>
        <w:kinsoku/>
        <w:wordWrap/>
        <w:overflowPunct/>
        <w:topLinePunct w:val="0"/>
        <w:bidi w:val="0"/>
        <w:adjustRightInd/>
        <w:snapToGrid/>
        <w:spacing w:before="0" w:line="280" w:lineRule="auto"/>
        <w:ind w:right="415" w:firstLine="42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招标人的工作人员与监督人员当场对开标会议进行全程监督， 如投标文件未符合招标文件中规定的要求，则视为废标；</w:t>
      </w:r>
    </w:p>
    <w:p w14:paraId="3B1CBBEB">
      <w:pPr>
        <w:pStyle w:val="6"/>
        <w:keepNext w:val="0"/>
        <w:keepLines w:val="0"/>
        <w:pageBreakBefore w:val="0"/>
        <w:widowControl w:val="0"/>
        <w:kinsoku/>
        <w:wordWrap/>
        <w:overflowPunct/>
        <w:topLinePunct w:val="0"/>
        <w:bidi w:val="0"/>
        <w:adjustRightInd/>
        <w:snapToGrid/>
        <w:spacing w:before="0"/>
        <w:ind w:left="548"/>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发生下列情况之一者，视为无效投标：</w:t>
      </w:r>
    </w:p>
    <w:p w14:paraId="62DF315B">
      <w:pPr>
        <w:pStyle w:val="10"/>
        <w:keepNext w:val="0"/>
        <w:keepLines w:val="0"/>
        <w:pageBreakBefore w:val="0"/>
        <w:widowControl w:val="0"/>
        <w:numPr>
          <w:ilvl w:val="0"/>
          <w:numId w:val="3"/>
        </w:numPr>
        <w:tabs>
          <w:tab w:val="left" w:pos="1251"/>
        </w:tabs>
        <w:kinsoku/>
        <w:wordWrap/>
        <w:overflowPunct/>
        <w:topLinePunct w:val="0"/>
        <w:bidi w:val="0"/>
        <w:adjustRightInd/>
        <w:snapToGrid/>
        <w:spacing w:before="0" w:after="0" w:line="240" w:lineRule="auto"/>
        <w:ind w:left="1250" w:right="0" w:hanging="80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投标承诺书未按规定加盖公章和签字。</w:t>
      </w:r>
    </w:p>
    <w:p w14:paraId="59EA13E9">
      <w:pPr>
        <w:pStyle w:val="10"/>
        <w:keepNext w:val="0"/>
        <w:keepLines w:val="0"/>
        <w:pageBreakBefore w:val="0"/>
        <w:widowControl w:val="0"/>
        <w:numPr>
          <w:ilvl w:val="0"/>
          <w:numId w:val="3"/>
        </w:numPr>
        <w:tabs>
          <w:tab w:val="left" w:pos="1251"/>
        </w:tabs>
        <w:kinsoku/>
        <w:wordWrap/>
        <w:overflowPunct/>
        <w:topLinePunct w:val="0"/>
        <w:bidi w:val="0"/>
        <w:adjustRightInd/>
        <w:snapToGrid/>
        <w:spacing w:before="0" w:after="0" w:line="280" w:lineRule="auto"/>
        <w:ind w:left="128" w:right="509" w:firstLine="322"/>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投标文件未按规定格式、内容填写或投标文件内容与招标文件有严重背离。</w:t>
      </w:r>
    </w:p>
    <w:p w14:paraId="0842FBB8">
      <w:pPr>
        <w:pStyle w:val="10"/>
        <w:keepNext w:val="0"/>
        <w:keepLines w:val="0"/>
        <w:pageBreakBefore w:val="0"/>
        <w:widowControl w:val="0"/>
        <w:numPr>
          <w:ilvl w:val="0"/>
          <w:numId w:val="3"/>
        </w:numPr>
        <w:tabs>
          <w:tab w:val="left" w:pos="1251"/>
        </w:tabs>
        <w:kinsoku/>
        <w:wordWrap/>
        <w:overflowPunct/>
        <w:topLinePunct w:val="0"/>
        <w:bidi w:val="0"/>
        <w:adjustRightInd/>
        <w:snapToGrid/>
        <w:spacing w:before="0" w:after="0" w:line="240" w:lineRule="auto"/>
        <w:ind w:left="1250" w:right="0" w:hanging="80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未按规定及时足额交纳投标保证金的。</w:t>
      </w:r>
    </w:p>
    <w:p w14:paraId="4C5629FB">
      <w:pPr>
        <w:pStyle w:val="6"/>
        <w:keepNext w:val="0"/>
        <w:keepLines w:val="0"/>
        <w:pageBreakBefore w:val="0"/>
        <w:widowControl w:val="0"/>
        <w:kinsoku/>
        <w:wordWrap/>
        <w:overflowPunct/>
        <w:topLinePunct w:val="0"/>
        <w:bidi w:val="0"/>
        <w:adjustRightInd/>
        <w:snapToGrid/>
        <w:spacing w:before="0"/>
        <w:ind w:left="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其他不符合招标文件要求的投标。</w:t>
      </w:r>
    </w:p>
    <w:p w14:paraId="628C0737">
      <w:pPr>
        <w:pStyle w:val="4"/>
        <w:keepNext w:val="0"/>
        <w:keepLines w:val="0"/>
        <w:pageBreakBefore w:val="0"/>
        <w:widowControl w:val="0"/>
        <w:kinsoku/>
        <w:wordWrap/>
        <w:overflowPunct/>
        <w:topLinePunct w:val="0"/>
        <w:bidi w:val="0"/>
        <w:adjustRightInd/>
        <w:snapToGrid/>
        <w:spacing w:before="0" w:line="483" w:lineRule="exact"/>
        <w:ind w:left="0" w:firstLine="602"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（九）评标</w:t>
      </w:r>
    </w:p>
    <w:p w14:paraId="3E350ACB">
      <w:pPr>
        <w:keepNext w:val="0"/>
        <w:keepLines w:val="0"/>
        <w:pageBreakBefore w:val="0"/>
        <w:widowControl w:val="0"/>
        <w:kinsoku/>
        <w:wordWrap/>
        <w:overflowPunct/>
        <w:topLinePunct w:val="0"/>
        <w:bidi w:val="0"/>
        <w:adjustRightInd/>
        <w:snapToGrid/>
        <w:spacing w:before="0" w:line="533" w:lineRule="exact"/>
        <w:ind w:left="690" w:right="0" w:firstLine="0"/>
        <w:jc w:val="left"/>
        <w:textAlignment w:val="auto"/>
        <w:rPr>
          <w:rFonts w:hint="eastAsia" w:ascii="仿宋_GB2312" w:hAnsi="仿宋_GB2312" w:eastAsia="仿宋_GB2312" w:cs="仿宋_GB2312"/>
          <w:b/>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1</w:t>
      </w:r>
      <w:r>
        <w:rPr>
          <w:rFonts w:hint="eastAsia" w:ascii="仿宋_GB2312" w:hAnsi="仿宋_GB2312" w:eastAsia="仿宋_GB2312" w:cs="仿宋_GB2312"/>
          <w:b/>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b/>
          <w:color w:val="000000" w:themeColor="text1"/>
          <w:sz w:val="30"/>
          <w:szCs w:val="30"/>
          <w14:textFill>
            <w14:solidFill>
              <w14:schemeClr w14:val="tx1"/>
            </w14:solidFill>
          </w14:textFill>
        </w:rPr>
        <w:t>评标过程的纪律</w:t>
      </w:r>
    </w:p>
    <w:p w14:paraId="0F7A6D1F">
      <w:pPr>
        <w:pStyle w:val="10"/>
        <w:keepNext w:val="0"/>
        <w:keepLines w:val="0"/>
        <w:pageBreakBefore w:val="0"/>
        <w:widowControl w:val="0"/>
        <w:numPr>
          <w:ilvl w:val="-1"/>
          <w:numId w:val="0"/>
        </w:numPr>
        <w:tabs>
          <w:tab w:val="left" w:pos="1251"/>
        </w:tabs>
        <w:kinsoku/>
        <w:wordWrap/>
        <w:overflowPunct/>
        <w:topLinePunct w:val="0"/>
        <w:bidi w:val="0"/>
        <w:adjustRightInd/>
        <w:snapToGrid/>
        <w:spacing w:before="0" w:after="0" w:line="281" w:lineRule="auto"/>
        <w:ind w:left="0" w:right="348" w:firstLine="580" w:firstLineChars="20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pacing w:val="-5"/>
          <w:sz w:val="30"/>
          <w:szCs w:val="30"/>
          <w:lang w:eastAsia="zh-CN"/>
          <w14:textFill>
            <w14:solidFill>
              <w14:schemeClr w14:val="tx1"/>
            </w14:solidFill>
          </w14:textFill>
        </w:rPr>
        <w:t>（</w:t>
      </w:r>
      <w:r>
        <w:rPr>
          <w:rFonts w:hint="eastAsia" w:ascii="仿宋_GB2312" w:hAnsi="仿宋_GB2312" w:eastAsia="仿宋_GB2312" w:cs="仿宋_GB2312"/>
          <w:color w:val="000000" w:themeColor="text1"/>
          <w:spacing w:val="-5"/>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spacing w:val="-5"/>
          <w:sz w:val="30"/>
          <w:szCs w:val="30"/>
          <w:lang w:eastAsia="zh-CN"/>
          <w14:textFill>
            <w14:solidFill>
              <w14:schemeClr w14:val="tx1"/>
            </w14:solidFill>
          </w14:textFill>
        </w:rPr>
        <w:t>）</w:t>
      </w:r>
      <w:r>
        <w:rPr>
          <w:rFonts w:hint="eastAsia" w:ascii="仿宋_GB2312" w:hAnsi="仿宋_GB2312" w:eastAsia="仿宋_GB2312" w:cs="仿宋_GB2312"/>
          <w:color w:val="000000" w:themeColor="text1"/>
          <w:spacing w:val="-5"/>
          <w:sz w:val="30"/>
          <w:szCs w:val="30"/>
          <w14:textFill>
            <w14:solidFill>
              <w14:schemeClr w14:val="tx1"/>
            </w14:solidFill>
          </w14:textFill>
        </w:rPr>
        <w:t>从投标截止日期至授予运输合同时止，有关投标文件的审查</w:t>
      </w:r>
      <w:r>
        <w:rPr>
          <w:rFonts w:hint="eastAsia" w:ascii="仿宋_GB2312" w:hAnsi="仿宋_GB2312" w:eastAsia="仿宋_GB2312" w:cs="仿宋_GB2312"/>
          <w:color w:val="000000" w:themeColor="text1"/>
          <w:spacing w:val="-14"/>
          <w:sz w:val="30"/>
          <w:szCs w:val="30"/>
          <w14:textFill>
            <w14:solidFill>
              <w14:schemeClr w14:val="tx1"/>
            </w14:solidFill>
          </w14:textFill>
        </w:rPr>
        <w:t>、答疑、澄清、评价、谈判以及有关授予合同的意向等一切情况，不得透露给投标人或与上述工作无关的任何单位和个人。</w:t>
      </w:r>
    </w:p>
    <w:p w14:paraId="3C68E03F">
      <w:pPr>
        <w:pStyle w:val="10"/>
        <w:keepNext w:val="0"/>
        <w:keepLines w:val="0"/>
        <w:pageBreakBefore w:val="0"/>
        <w:widowControl w:val="0"/>
        <w:numPr>
          <w:ilvl w:val="-1"/>
          <w:numId w:val="0"/>
        </w:numPr>
        <w:tabs>
          <w:tab w:val="left" w:pos="1251"/>
        </w:tabs>
        <w:kinsoku/>
        <w:wordWrap/>
        <w:overflowPunct/>
        <w:topLinePunct w:val="0"/>
        <w:bidi w:val="0"/>
        <w:adjustRightInd/>
        <w:snapToGrid/>
        <w:spacing w:before="0" w:after="0" w:line="281" w:lineRule="auto"/>
        <w:ind w:left="0" w:right="509" w:firstLine="600" w:firstLineChars="20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严禁投标人在投标过程中采用任何手段进行串标、贿赂和其他被视为违反招、投标纪律的行为，如经发现均取消其投标资格。</w:t>
      </w:r>
    </w:p>
    <w:p w14:paraId="61193C0B">
      <w:pPr>
        <w:pStyle w:val="10"/>
        <w:keepNext w:val="0"/>
        <w:keepLines w:val="0"/>
        <w:pageBreakBefore w:val="0"/>
        <w:widowControl w:val="0"/>
        <w:numPr>
          <w:ilvl w:val="-1"/>
          <w:numId w:val="0"/>
        </w:numPr>
        <w:tabs>
          <w:tab w:val="left" w:pos="1251"/>
        </w:tabs>
        <w:kinsoku/>
        <w:wordWrap/>
        <w:overflowPunct/>
        <w:topLinePunct w:val="0"/>
        <w:bidi w:val="0"/>
        <w:adjustRightInd/>
        <w:snapToGrid/>
        <w:spacing w:before="0" w:after="0" w:line="281" w:lineRule="auto"/>
        <w:ind w:left="0" w:right="506" w:firstLine="600" w:firstLineChars="200"/>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在投标过程中的审查、答疑、评价和比较，以及授予合同的</w:t>
      </w:r>
      <w:r>
        <w:rPr>
          <w:rFonts w:hint="eastAsia" w:ascii="仿宋_GB2312" w:hAnsi="仿宋_GB2312" w:eastAsia="仿宋_GB2312" w:cs="仿宋_GB2312"/>
          <w:color w:val="000000" w:themeColor="text1"/>
          <w:spacing w:val="-14"/>
          <w:sz w:val="30"/>
          <w:szCs w:val="30"/>
          <w14:textFill>
            <w14:solidFill>
              <w14:schemeClr w14:val="tx1"/>
            </w14:solidFill>
          </w14:textFill>
        </w:rPr>
        <w:t>过程中，投标人对招标人和招标人成员直接或间接施加影响的任何干扰行为，都将导致取消投标资格。投标人违反招、投标纪律，其投标将被废除。</w:t>
      </w:r>
    </w:p>
    <w:p w14:paraId="79CCE592">
      <w:pPr>
        <w:pStyle w:val="4"/>
        <w:keepNext w:val="0"/>
        <w:keepLines w:val="0"/>
        <w:pageBreakBefore w:val="0"/>
        <w:widowControl w:val="0"/>
        <w:kinsoku/>
        <w:wordWrap/>
        <w:overflowPunct/>
        <w:topLinePunct w:val="0"/>
        <w:bidi w:val="0"/>
        <w:adjustRightInd/>
        <w:snapToGrid/>
        <w:spacing w:before="0" w:line="483" w:lineRule="exac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评标因素</w:t>
      </w:r>
    </w:p>
    <w:p w14:paraId="6489546A">
      <w:pPr>
        <w:pStyle w:val="6"/>
        <w:keepNext w:val="0"/>
        <w:keepLines w:val="0"/>
        <w:pageBreakBefore w:val="0"/>
        <w:widowControl w:val="0"/>
        <w:kinsoku/>
        <w:wordWrap/>
        <w:overflowPunct/>
        <w:topLinePunct w:val="0"/>
        <w:bidi w:val="0"/>
        <w:adjustRightInd/>
        <w:snapToGrid/>
        <w:spacing w:before="0" w:line="280" w:lineRule="auto"/>
        <w:ind w:right="348" w:firstLine="561"/>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评标因素包括但不限于运输合同条款的接受程度、抗风险能力、</w:t>
      </w:r>
      <w:r>
        <w:rPr>
          <w:rFonts w:hint="eastAsia" w:ascii="仿宋_GB2312" w:hAnsi="仿宋_GB2312" w:eastAsia="仿宋_GB2312" w:cs="仿宋_GB2312"/>
          <w:color w:val="000000" w:themeColor="text1"/>
          <w:spacing w:val="-20"/>
          <w:sz w:val="30"/>
          <w:szCs w:val="30"/>
          <w14:textFill>
            <w14:solidFill>
              <w14:schemeClr w14:val="tx1"/>
            </w14:solidFill>
          </w14:textFill>
        </w:rPr>
        <w:t>投标价格、服务承诺、损耗管理、</w:t>
      </w:r>
      <w:r>
        <w:rPr>
          <w:rFonts w:hint="eastAsia" w:ascii="仿宋_GB2312" w:hAnsi="仿宋_GB2312" w:eastAsia="仿宋_GB2312" w:cs="仿宋_GB2312"/>
          <w:color w:val="000000" w:themeColor="text1"/>
          <w:spacing w:val="-20"/>
          <w:sz w:val="30"/>
          <w:szCs w:val="30"/>
          <w:lang w:val="en-US" w:eastAsia="zh-CN"/>
          <w14:textFill>
            <w14:solidFill>
              <w14:schemeClr w14:val="tx1"/>
            </w14:solidFill>
          </w14:textFill>
        </w:rPr>
        <w:t>运输车辆匹配</w:t>
      </w:r>
      <w:r>
        <w:rPr>
          <w:rFonts w:hint="eastAsia" w:ascii="仿宋_GB2312" w:hAnsi="仿宋_GB2312" w:eastAsia="仿宋_GB2312" w:cs="仿宋_GB2312"/>
          <w:color w:val="000000" w:themeColor="text1"/>
          <w:spacing w:val="-20"/>
          <w:sz w:val="30"/>
          <w:szCs w:val="30"/>
          <w14:textFill>
            <w14:solidFill>
              <w14:schemeClr w14:val="tx1"/>
            </w14:solidFill>
          </w14:textFill>
        </w:rPr>
        <w:t>程度及其他优惠条件等。</w:t>
      </w:r>
    </w:p>
    <w:p w14:paraId="7A92BC53">
      <w:pPr>
        <w:pStyle w:val="4"/>
        <w:keepNext w:val="0"/>
        <w:keepLines w:val="0"/>
        <w:pageBreakBefore w:val="0"/>
        <w:widowControl w:val="0"/>
        <w:kinsoku/>
        <w:wordWrap/>
        <w:overflowPunct/>
        <w:topLinePunct w:val="0"/>
        <w:bidi w:val="0"/>
        <w:adjustRightInd/>
        <w:snapToGrid/>
        <w:spacing w:before="0"/>
        <w:ind w:left="45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（十）中标</w:t>
      </w:r>
    </w:p>
    <w:p w14:paraId="702BAB6E">
      <w:pPr>
        <w:pStyle w:val="6"/>
        <w:keepNext w:val="0"/>
        <w:keepLines w:val="0"/>
        <w:pageBreakBefore w:val="0"/>
        <w:widowControl w:val="0"/>
        <w:kinsoku/>
        <w:wordWrap/>
        <w:overflowPunct/>
        <w:topLinePunct w:val="0"/>
        <w:bidi w:val="0"/>
        <w:adjustRightInd/>
        <w:snapToGrid/>
        <w:spacing w:before="0" w:line="280" w:lineRule="auto"/>
        <w:ind w:right="509" w:firstLine="561"/>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招标人根据各投标人的投标文件及综合评标最终结果，确定中标人。</w:t>
      </w:r>
    </w:p>
    <w:p w14:paraId="219FD4E2">
      <w:pPr>
        <w:pStyle w:val="6"/>
        <w:keepNext w:val="0"/>
        <w:keepLines w:val="0"/>
        <w:pageBreakBefore w:val="0"/>
        <w:widowControl w:val="0"/>
        <w:kinsoku/>
        <w:wordWrap/>
        <w:overflowPunct/>
        <w:topLinePunct w:val="0"/>
        <w:bidi w:val="0"/>
        <w:adjustRightInd/>
        <w:snapToGrid/>
        <w:spacing w:before="0" w:line="280" w:lineRule="auto"/>
        <w:ind w:right="504" w:firstLine="561"/>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pacing w:val="-20"/>
          <w:sz w:val="30"/>
          <w:szCs w:val="30"/>
          <w14:textFill>
            <w14:solidFill>
              <w14:schemeClr w14:val="tx1"/>
            </w14:solidFill>
          </w14:textFill>
        </w:rPr>
        <w:t>投标单位自有车辆必</w:t>
      </w:r>
      <w:r>
        <w:rPr>
          <w:rFonts w:hint="eastAsia" w:ascii="仿宋_GB2312" w:hAnsi="仿宋_GB2312" w:eastAsia="仿宋_GB2312" w:cs="仿宋_GB2312"/>
          <w:color w:val="000000" w:themeColor="text1"/>
          <w:spacing w:val="-21"/>
          <w:sz w:val="30"/>
          <w:szCs w:val="30"/>
          <w14:textFill>
            <w14:solidFill>
              <w14:schemeClr w14:val="tx1"/>
            </w14:solidFill>
          </w14:textFill>
        </w:rPr>
        <w:t>须满足</w:t>
      </w:r>
      <w:r>
        <w:rPr>
          <w:rFonts w:hint="eastAsia" w:ascii="仿宋_GB2312" w:hAnsi="仿宋_GB2312" w:eastAsia="仿宋_GB2312" w:cs="仿宋_GB2312"/>
          <w:color w:val="000000" w:themeColor="text1"/>
          <w:spacing w:val="-21"/>
          <w:sz w:val="30"/>
          <w:szCs w:val="30"/>
          <w:lang w:val="en-US" w:eastAsia="zh-CN"/>
          <w14:textFill>
            <w14:solidFill>
              <w14:schemeClr w14:val="tx1"/>
            </w14:solidFill>
          </w14:textFill>
        </w:rPr>
        <w:t>我方</w:t>
      </w:r>
      <w:r>
        <w:rPr>
          <w:rFonts w:hint="eastAsia" w:ascii="仿宋_GB2312" w:hAnsi="仿宋_GB2312" w:eastAsia="仿宋_GB2312" w:cs="仿宋_GB2312"/>
          <w:color w:val="000000" w:themeColor="text1"/>
          <w:spacing w:val="-21"/>
          <w:sz w:val="30"/>
          <w:szCs w:val="30"/>
          <w14:textFill>
            <w14:solidFill>
              <w14:schemeClr w14:val="tx1"/>
            </w14:solidFill>
          </w14:textFill>
        </w:rPr>
        <w:t>所需的数量，</w:t>
      </w:r>
      <w:r>
        <w:rPr>
          <w:rFonts w:hint="eastAsia" w:ascii="仿宋_GB2312" w:hAnsi="仿宋_GB2312" w:eastAsia="仿宋_GB2312" w:cs="仿宋_GB2312"/>
          <w:color w:val="000000" w:themeColor="text1"/>
          <w:spacing w:val="-21"/>
          <w:sz w:val="30"/>
          <w:szCs w:val="30"/>
          <w:lang w:val="en-US" w:eastAsia="zh-CN"/>
          <w14:textFill>
            <w14:solidFill>
              <w14:schemeClr w14:val="tx1"/>
            </w14:solidFill>
          </w14:textFill>
        </w:rPr>
        <w:t>严禁将运输业务委托或转包给第三方。</w:t>
      </w:r>
      <w:r>
        <w:rPr>
          <w:rFonts w:hint="eastAsia" w:ascii="仿宋_GB2312" w:hAnsi="仿宋_GB2312" w:eastAsia="仿宋_GB2312" w:cs="仿宋_GB2312"/>
          <w:color w:val="000000" w:themeColor="text1"/>
          <w:spacing w:val="-21"/>
          <w:sz w:val="30"/>
          <w:szCs w:val="30"/>
          <w14:textFill>
            <w14:solidFill>
              <w14:schemeClr w14:val="tx1"/>
            </w14:solidFill>
          </w14:textFill>
        </w:rPr>
        <w:t>在合同执行过程中车辆需求数量会随公</w:t>
      </w:r>
      <w:r>
        <w:rPr>
          <w:rFonts w:hint="eastAsia" w:ascii="仿宋_GB2312" w:hAnsi="仿宋_GB2312" w:eastAsia="仿宋_GB2312" w:cs="仿宋_GB2312"/>
          <w:color w:val="000000" w:themeColor="text1"/>
          <w:spacing w:val="-18"/>
          <w:sz w:val="30"/>
          <w:szCs w:val="30"/>
          <w14:textFill>
            <w14:solidFill>
              <w14:schemeClr w14:val="tx1"/>
            </w14:solidFill>
          </w14:textFill>
        </w:rPr>
        <w:t>司经营而变动，投标方在合同执行</w:t>
      </w:r>
      <w:r>
        <w:drawing>
          <wp:anchor distT="0" distB="0" distL="114300" distR="114300" simplePos="0" relativeHeight="251663360" behindDoc="0" locked="0" layoutInCell="1" allowOverlap="1">
            <wp:simplePos x="0" y="0"/>
            <wp:positionH relativeFrom="column">
              <wp:posOffset>5601335</wp:posOffset>
            </wp:positionH>
            <wp:positionV relativeFrom="paragraph">
              <wp:posOffset>-547370</wp:posOffset>
            </wp:positionV>
            <wp:extent cx="646430" cy="431800"/>
            <wp:effectExtent l="0" t="0" r="1270" b="6350"/>
            <wp:wrapSquare wrapText="bothSides"/>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46430" cy="431800"/>
                    </a:xfrm>
                    <a:prstGeom prst="rect">
                      <a:avLst/>
                    </a:prstGeom>
                  </pic:spPr>
                </pic:pic>
              </a:graphicData>
            </a:graphic>
          </wp:anchor>
        </w:drawing>
      </w:r>
      <w:r>
        <w:rPr>
          <w:rFonts w:hint="eastAsia" w:ascii="仿宋_GB2312" w:hAnsi="仿宋_GB2312" w:eastAsia="仿宋_GB2312" w:cs="仿宋_GB2312"/>
          <w:color w:val="000000" w:themeColor="text1"/>
          <w:spacing w:val="-18"/>
          <w:sz w:val="30"/>
          <w:szCs w:val="30"/>
          <w14:textFill>
            <w14:solidFill>
              <w14:schemeClr w14:val="tx1"/>
            </w14:solidFill>
          </w14:textFill>
        </w:rPr>
        <w:t>期间须根据变动配置充足运力保证招标方正常运输。</w:t>
      </w:r>
    </w:p>
    <w:p w14:paraId="0C38A86E">
      <w:pPr>
        <w:pStyle w:val="6"/>
        <w:keepNext w:val="0"/>
        <w:keepLines w:val="0"/>
        <w:pageBreakBefore w:val="0"/>
        <w:widowControl w:val="0"/>
        <w:kinsoku/>
        <w:wordWrap/>
        <w:overflowPunct/>
        <w:topLinePunct w:val="0"/>
        <w:bidi w:val="0"/>
        <w:adjustRightInd/>
        <w:snapToGrid/>
        <w:spacing w:before="0" w:line="280" w:lineRule="auto"/>
        <w:ind w:right="509" w:firstLine="561"/>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3</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招标人将以招标系统发送短信的形式通知开标情况，具体中标情况以招标系统显示或电话通知为准。</w:t>
      </w:r>
    </w:p>
    <w:p w14:paraId="6B694CC7">
      <w:pPr>
        <w:pStyle w:val="6"/>
        <w:keepNext w:val="0"/>
        <w:keepLines w:val="0"/>
        <w:pageBreakBefore w:val="0"/>
        <w:widowControl w:val="0"/>
        <w:kinsoku/>
        <w:wordWrap/>
        <w:overflowPunct/>
        <w:topLinePunct w:val="0"/>
        <w:bidi w:val="0"/>
        <w:adjustRightInd/>
        <w:snapToGrid/>
        <w:spacing w:before="0" w:line="281" w:lineRule="auto"/>
        <w:ind w:left="0" w:right="510"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4</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中标承运商须在合同开始执行前五天派车辆和人员到相应分公司对接车辆验车、洗消和合同交接等相关事宜。</w:t>
      </w:r>
    </w:p>
    <w:p w14:paraId="063470F3">
      <w:pPr>
        <w:pStyle w:val="4"/>
        <w:keepNext w:val="0"/>
        <w:keepLines w:val="0"/>
        <w:pageBreakBefore w:val="0"/>
        <w:widowControl w:val="0"/>
        <w:kinsoku/>
        <w:wordWrap/>
        <w:overflowPunct/>
        <w:topLinePunct w:val="0"/>
        <w:bidi w:val="0"/>
        <w:adjustRightInd/>
        <w:snapToGrid/>
        <w:spacing w:before="0"/>
        <w:ind w:left="45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（十一）最终合同的签署</w:t>
      </w:r>
    </w:p>
    <w:p w14:paraId="1F5A4AFD">
      <w:pPr>
        <w:keepNext w:val="0"/>
        <w:keepLines w:val="0"/>
        <w:pageBreakBefore w:val="0"/>
        <w:widowControl w:val="0"/>
        <w:kinsoku/>
        <w:wordWrap/>
        <w:overflowPunct/>
        <w:topLinePunct w:val="0"/>
        <w:autoSpaceDE/>
        <w:autoSpaceDN/>
        <w:bidi w:val="0"/>
        <w:adjustRightInd/>
        <w:snapToGrid/>
        <w:spacing w:before="0" w:line="520" w:lineRule="exact"/>
        <w:ind w:firstLine="600" w:firstLineChars="200"/>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中标方收到《中标通知书》后，按《中标通知书》中规定的时间、方式与招标方签订运输合同</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运输合同要求投标方、合同签订方、发票开具方和收款方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四者一致</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p>
    <w:p w14:paraId="5B58CA21">
      <w:pPr>
        <w:keepNext w:val="0"/>
        <w:keepLines w:val="0"/>
        <w:pageBreakBefore w:val="0"/>
        <w:widowControl w:val="0"/>
        <w:kinsoku/>
        <w:wordWrap/>
        <w:overflowPunct/>
        <w:topLinePunct w:val="0"/>
        <w:autoSpaceDE/>
        <w:autoSpaceDN/>
        <w:bidi w:val="0"/>
        <w:adjustRightInd/>
        <w:snapToGrid/>
        <w:spacing w:before="0" w:line="52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lang w:eastAsia="zh-CN"/>
          <w14:textFill>
            <w14:solidFill>
              <w14:schemeClr w14:val="tx1"/>
            </w14:solidFill>
          </w14:textFill>
        </w:rPr>
        <w:t>如中标方签定合同后违约，招标方组织重新招标。</w:t>
      </w:r>
    </w:p>
    <w:p w14:paraId="594870E5">
      <w:pPr>
        <w:keepNext w:val="0"/>
        <w:keepLines w:val="0"/>
        <w:pageBreakBefore w:val="0"/>
        <w:widowControl w:val="0"/>
        <w:kinsoku/>
        <w:wordWrap/>
        <w:overflowPunct/>
        <w:topLinePunct w:val="0"/>
        <w:autoSpaceDE/>
        <w:autoSpaceDN/>
        <w:bidi w:val="0"/>
        <w:adjustRightInd/>
        <w:snapToGrid/>
        <w:spacing w:before="0" w:line="520" w:lineRule="exact"/>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如本文件中所述内容存在与《</w:t>
      </w:r>
      <w:r>
        <w:rPr>
          <w:rFonts w:hint="eastAsia" w:ascii="仿宋_GB2312" w:hAnsi="仿宋_GB2312" w:eastAsia="仿宋_GB2312" w:cs="仿宋_GB2312"/>
          <w:color w:val="000000" w:themeColor="text1"/>
          <w:sz w:val="30"/>
          <w:szCs w:val="30"/>
          <w:lang w:eastAsia="zh-CN"/>
          <w14:textFill>
            <w14:solidFill>
              <w14:schemeClr w14:val="tx1"/>
            </w14:solidFill>
          </w14:textFill>
        </w:rPr>
        <w:t>运输</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合同</w:t>
      </w:r>
      <w:r>
        <w:rPr>
          <w:rFonts w:hint="eastAsia" w:ascii="仿宋_GB2312" w:hAnsi="仿宋_GB2312" w:eastAsia="仿宋_GB2312" w:cs="仿宋_GB2312"/>
          <w:color w:val="000000" w:themeColor="text1"/>
          <w:sz w:val="30"/>
          <w:szCs w:val="30"/>
          <w14:textFill>
            <w14:solidFill>
              <w14:schemeClr w14:val="tx1"/>
            </w14:solidFill>
          </w14:textFill>
        </w:rPr>
        <w:t>》中相关内容有出入，则以《</w:t>
      </w:r>
      <w:r>
        <w:rPr>
          <w:rFonts w:hint="eastAsia" w:ascii="仿宋_GB2312" w:hAnsi="仿宋_GB2312" w:eastAsia="仿宋_GB2312" w:cs="仿宋_GB2312"/>
          <w:color w:val="000000" w:themeColor="text1"/>
          <w:sz w:val="30"/>
          <w:szCs w:val="30"/>
          <w:lang w:eastAsia="zh-CN"/>
          <w14:textFill>
            <w14:solidFill>
              <w14:schemeClr w14:val="tx1"/>
            </w14:solidFill>
          </w14:textFill>
        </w:rPr>
        <w:t>运输</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合同</w:t>
      </w:r>
      <w:r>
        <w:rPr>
          <w:rFonts w:hint="eastAsia" w:ascii="仿宋_GB2312" w:hAnsi="仿宋_GB2312" w:eastAsia="仿宋_GB2312" w:cs="仿宋_GB2312"/>
          <w:color w:val="000000" w:themeColor="text1"/>
          <w:sz w:val="30"/>
          <w:szCs w:val="30"/>
          <w14:textFill>
            <w14:solidFill>
              <w14:schemeClr w14:val="tx1"/>
            </w14:solidFill>
          </w14:textFill>
        </w:rPr>
        <w:t>》所述内容为准。</w:t>
      </w:r>
    </w:p>
    <w:p w14:paraId="0CB9153B">
      <w:pPr>
        <w:bidi w:val="0"/>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如果中标人不按上述规定执行，中标后未及时签订合同或放弃中标，招标人有权撤销授标，取消其中标人资格并没收其投标保证  金。招标人将在中标候选人中重新选定中标人。</w:t>
      </w:r>
    </w:p>
    <w:p w14:paraId="7ECF1617">
      <w:pPr>
        <w:pStyle w:val="4"/>
        <w:keepNext w:val="0"/>
        <w:keepLines w:val="0"/>
        <w:pageBreakBefore w:val="0"/>
        <w:widowControl w:val="0"/>
        <w:kinsoku/>
        <w:wordWrap/>
        <w:overflowPunct/>
        <w:topLinePunct w:val="0"/>
        <w:bidi w:val="0"/>
        <w:adjustRightInd/>
        <w:snapToGrid/>
        <w:spacing w:before="0" w:line="451" w:lineRule="exac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（十二）招标具体标的情况及要求</w:t>
      </w:r>
    </w:p>
    <w:p w14:paraId="3F1769C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yellow"/>
          <w:lang w:val="en-US" w:eastAsia="zh-CN"/>
        </w:rPr>
        <w:t>本次招标</w:t>
      </w:r>
      <w:r>
        <w:rPr>
          <w:rFonts w:hint="eastAsia" w:ascii="Times New Roman" w:hAnsi="Times New Roman" w:eastAsia="仿宋_GB2312" w:cs="Times New Roman"/>
          <w:sz w:val="32"/>
          <w:szCs w:val="32"/>
          <w:highlight w:val="yellow"/>
          <w:lang w:val="en-US" w:eastAsia="zh-CN"/>
        </w:rPr>
        <w:t>共1个</w:t>
      </w:r>
      <w:r>
        <w:rPr>
          <w:rFonts w:hint="default" w:ascii="Times New Roman" w:hAnsi="Times New Roman" w:eastAsia="仿宋_GB2312" w:cs="Times New Roman"/>
          <w:sz w:val="32"/>
          <w:szCs w:val="32"/>
          <w:highlight w:val="yellow"/>
          <w:lang w:val="en-US" w:eastAsia="zh-CN"/>
        </w:rPr>
        <w:t>标段，</w:t>
      </w:r>
      <w:r>
        <w:rPr>
          <w:rFonts w:hint="eastAsia" w:ascii="Times New Roman" w:hAnsi="Times New Roman" w:eastAsia="仿宋_GB2312" w:cs="Times New Roman"/>
          <w:sz w:val="32"/>
          <w:szCs w:val="32"/>
          <w:highlight w:val="yellow"/>
          <w:lang w:val="en-US" w:eastAsia="zh-CN"/>
        </w:rPr>
        <w:t>分别</w:t>
      </w:r>
      <w:r>
        <w:rPr>
          <w:rFonts w:hint="default" w:ascii="Times New Roman" w:hAnsi="Times New Roman" w:eastAsia="仿宋_GB2312" w:cs="Times New Roman"/>
          <w:sz w:val="32"/>
          <w:szCs w:val="32"/>
          <w:highlight w:val="yellow"/>
          <w:lang w:val="en-US" w:eastAsia="zh-CN"/>
        </w:rPr>
        <w:t>对车厢长9.6米，里程</w:t>
      </w:r>
      <w:r>
        <w:rPr>
          <w:rFonts w:hint="eastAsia" w:ascii="Times New Roman" w:hAnsi="Times New Roman" w:eastAsia="仿宋_GB2312" w:cs="Times New Roman"/>
          <w:sz w:val="32"/>
          <w:szCs w:val="32"/>
          <w:highlight w:val="yellow"/>
          <w:lang w:val="en-US" w:eastAsia="zh-CN"/>
        </w:rPr>
        <w:t>＜</w:t>
      </w:r>
      <w:bookmarkStart w:id="0" w:name="_GoBack"/>
      <w:bookmarkEnd w:id="0"/>
      <w:r>
        <w:rPr>
          <w:rFonts w:hint="default" w:ascii="Times New Roman" w:hAnsi="Times New Roman" w:eastAsia="仿宋_GB2312" w:cs="Times New Roman"/>
          <w:sz w:val="32"/>
          <w:szCs w:val="32"/>
          <w:highlight w:val="yellow"/>
          <w:lang w:val="en-US" w:eastAsia="zh-CN"/>
        </w:rPr>
        <w:t>100KM</w:t>
      </w:r>
      <w:r>
        <w:rPr>
          <w:rFonts w:hint="eastAsia" w:ascii="Times New Roman" w:hAnsi="Times New Roman" w:eastAsia="仿宋_GB2312" w:cs="Times New Roman"/>
          <w:sz w:val="32"/>
          <w:szCs w:val="32"/>
          <w:highlight w:val="yellow"/>
          <w:lang w:val="en-US" w:eastAsia="zh-CN"/>
        </w:rPr>
        <w:t>；以及车厢长6.8米/7.4米，</w:t>
      </w:r>
      <w:r>
        <w:rPr>
          <w:rFonts w:hint="default" w:ascii="Times New Roman" w:hAnsi="Times New Roman" w:eastAsia="仿宋_GB2312" w:cs="Times New Roman"/>
          <w:sz w:val="32"/>
          <w:szCs w:val="32"/>
          <w:highlight w:val="yellow"/>
          <w:lang w:val="en-US" w:eastAsia="zh-CN"/>
        </w:rPr>
        <w:t>里程</w:t>
      </w:r>
      <w:r>
        <w:rPr>
          <w:rFonts w:hint="eastAsia" w:ascii="Times New Roman" w:hAnsi="Times New Roman" w:eastAsia="仿宋_GB2312" w:cs="Times New Roman"/>
          <w:sz w:val="32"/>
          <w:szCs w:val="32"/>
          <w:highlight w:val="yellow"/>
          <w:lang w:val="en-US" w:eastAsia="zh-CN"/>
        </w:rPr>
        <w:t>＜</w:t>
      </w:r>
      <w:r>
        <w:rPr>
          <w:rFonts w:hint="default" w:ascii="Times New Roman" w:hAnsi="Times New Roman" w:eastAsia="仿宋_GB2312" w:cs="Times New Roman"/>
          <w:sz w:val="32"/>
          <w:szCs w:val="32"/>
          <w:highlight w:val="yellow"/>
          <w:lang w:val="en-US" w:eastAsia="zh-CN"/>
        </w:rPr>
        <w:t>100KM进行投标，中标者同时无条件获得不同车型各运输区间的承运权。</w:t>
      </w:r>
    </w:p>
    <w:p w14:paraId="73DD3DB7">
      <w:pPr>
        <w:rPr>
          <w:rFonts w:hint="eastAsia" w:ascii="仿宋_GB2312" w:hAnsi="仿宋_GB2312" w:eastAsia="仿宋_GB2312" w:cs="仿宋_GB2312"/>
          <w:color w:val="000000" w:themeColor="text1"/>
          <w:sz w:val="30"/>
          <w:szCs w:val="30"/>
          <w14:textFill>
            <w14:solidFill>
              <w14:schemeClr w14:val="tx1"/>
            </w14:solidFill>
          </w14:textFill>
        </w:rPr>
      </w:pPr>
    </w:p>
    <w:tbl>
      <w:tblPr>
        <w:tblStyle w:val="8"/>
        <w:tblW w:w="10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41"/>
        <w:gridCol w:w="3296"/>
        <w:gridCol w:w="3593"/>
      </w:tblGrid>
      <w:tr w14:paraId="696D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885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单边距离（KM）</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E28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车厢9.6米</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5B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车厢6.8/7.4米</w:t>
            </w:r>
          </w:p>
        </w:tc>
      </w:tr>
      <w:tr w14:paraId="1376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3D8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100KM以下（含）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551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XX元/车</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902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XX元/车</w:t>
            </w:r>
          </w:p>
        </w:tc>
      </w:tr>
      <w:tr w14:paraId="0DFA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DDD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100KM-250KM（含）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283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100KM中标价+超出100KM的距离*</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lang w:val="en-US" w:eastAsia="zh-CN"/>
              </w:rPr>
              <w:t>元/KM</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A63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100KM中标价+超出100KM的距离*</w:t>
            </w:r>
            <w:r>
              <w:rPr>
                <w:rFonts w:hint="eastAsia" w:ascii="Times New Roman" w:hAnsi="Times New Roman" w:eastAsia="仿宋_GB2312" w:cs="Times New Roman"/>
                <w:sz w:val="28"/>
                <w:szCs w:val="28"/>
                <w:lang w:val="en-US" w:eastAsia="zh-CN"/>
              </w:rPr>
              <w:t>X</w:t>
            </w:r>
            <w:r>
              <w:rPr>
                <w:rFonts w:hint="default" w:ascii="Times New Roman" w:hAnsi="Times New Roman" w:eastAsia="仿宋_GB2312" w:cs="Times New Roman"/>
                <w:sz w:val="28"/>
                <w:szCs w:val="28"/>
                <w:lang w:val="en-US" w:eastAsia="zh-CN"/>
              </w:rPr>
              <w:t>元/KM</w:t>
            </w:r>
          </w:p>
        </w:tc>
      </w:tr>
      <w:tr w14:paraId="28BB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F09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250KM-500KM（含）</w:t>
            </w:r>
          </w:p>
        </w:tc>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6DE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X元/公里</w:t>
            </w:r>
          </w:p>
        </w:tc>
        <w:tc>
          <w:tcPr>
            <w:tcW w:w="3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D48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X元/公里</w:t>
            </w:r>
          </w:p>
        </w:tc>
      </w:tr>
    </w:tbl>
    <w:p w14:paraId="2EED5D8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注：</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1.投标报价</w:t>
      </w:r>
      <w:r>
        <w:rPr>
          <w:rFonts w:hint="eastAsia" w:ascii="仿宋_GB2312" w:hAnsi="仿宋_GB2312" w:eastAsia="仿宋_GB2312" w:cs="仿宋_GB2312"/>
          <w:b/>
          <w:bCs/>
          <w:color w:val="000000" w:themeColor="text1"/>
          <w:sz w:val="30"/>
          <w:szCs w:val="30"/>
          <w:highlight w:val="yellow"/>
          <w:u w:val="single"/>
          <w:lang w:val="en-US" w:eastAsia="zh-CN"/>
          <w14:textFill>
            <w14:solidFill>
              <w14:schemeClr w14:val="tx1"/>
            </w14:solidFill>
          </w14:textFill>
        </w:rPr>
        <w:t>X</w:t>
      </w: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超出价格上限为无效标，作废标处理.</w:t>
      </w:r>
    </w:p>
    <w:p w14:paraId="27C9D0D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default"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yellow"/>
          <w:u w:val="single"/>
          <w:lang w:val="en-US" w:eastAsia="zh-CN"/>
          <w14:textFill>
            <w14:solidFill>
              <w14:schemeClr w14:val="tx1"/>
            </w14:solidFill>
          </w14:textFill>
        </w:rPr>
        <w:t>2.国家油费涨跌与运费的关系；以云南省发展和改革委员会官网发布的VI标准0＃柴油价格为准（曲靖市），油价每累计上升或下降达到6％时，运输价格相应的上调或下调，调整幅度按照油价变化幅度的1／4进行调整。首次运价调整按投标时的油价7.66元／升为基准，下次运价调整按上次达到调整时的油价为基准，以此类推。</w:t>
      </w:r>
    </w:p>
    <w:p w14:paraId="6E19FF1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报价需要考虑查超载的风险，若中标单位在承运过程中出现违法违规造成处罚或交通意外的，由中标单位负责；签订合同后不会由于超载问题调价</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p>
    <w:p w14:paraId="1EE129CD">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color w:val="000000" w:themeColor="text1"/>
          <w:sz w:val="30"/>
          <w:szCs w:val="30"/>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yellow"/>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highlight w:val="yellow"/>
          <w14:textFill>
            <w14:solidFill>
              <w14:schemeClr w14:val="tx1"/>
            </w14:solidFill>
          </w14:textFill>
        </w:rPr>
        <w:t>该价格包含车辆折旧、车辆保险、货物保险、驾驶员薪资、车辆GPS定位、燃油费、</w:t>
      </w:r>
      <w:r>
        <w:rPr>
          <w:rFonts w:hint="eastAsia" w:ascii="仿宋_GB2312" w:hAnsi="仿宋_GB2312" w:eastAsia="仿宋_GB2312" w:cs="仿宋_GB2312"/>
          <w:color w:val="000000" w:themeColor="text1"/>
          <w:sz w:val="30"/>
          <w:szCs w:val="30"/>
          <w:highlight w:val="yellow"/>
          <w:lang w:eastAsia="zh-CN"/>
          <w14:textFill>
            <w14:solidFill>
              <w14:schemeClr w14:val="tx1"/>
            </w14:solidFill>
          </w14:textFill>
        </w:rPr>
        <w:t>空车</w:t>
      </w:r>
      <w:r>
        <w:rPr>
          <w:rFonts w:hint="eastAsia" w:ascii="仿宋_GB2312" w:hAnsi="仿宋_GB2312" w:eastAsia="仿宋_GB2312" w:cs="仿宋_GB2312"/>
          <w:color w:val="000000" w:themeColor="text1"/>
          <w:sz w:val="30"/>
          <w:szCs w:val="30"/>
          <w:highlight w:val="yellow"/>
          <w:lang w:val="en-US" w:eastAsia="zh-CN"/>
          <w14:textFill>
            <w14:solidFill>
              <w14:schemeClr w14:val="tx1"/>
            </w14:solidFill>
          </w14:textFill>
        </w:rPr>
        <w:t>/重车</w:t>
      </w:r>
      <w:r>
        <w:rPr>
          <w:rFonts w:hint="eastAsia" w:ascii="仿宋_GB2312" w:hAnsi="仿宋_GB2312" w:eastAsia="仿宋_GB2312" w:cs="仿宋_GB2312"/>
          <w:color w:val="000000" w:themeColor="text1"/>
          <w:sz w:val="30"/>
          <w:szCs w:val="30"/>
          <w:highlight w:val="yellow"/>
          <w14:textFill>
            <w14:solidFill>
              <w14:schemeClr w14:val="tx1"/>
            </w14:solidFill>
          </w14:textFill>
        </w:rPr>
        <w:t>路桥费、</w:t>
      </w:r>
      <w:r>
        <w:rPr>
          <w:rFonts w:hint="eastAsia" w:ascii="仿宋_GB2312" w:hAnsi="仿宋_GB2312" w:eastAsia="仿宋_GB2312" w:cs="仿宋_GB2312"/>
          <w:color w:val="000000" w:themeColor="text1"/>
          <w:sz w:val="30"/>
          <w:szCs w:val="30"/>
          <w:highlight w:val="yellow"/>
          <w:lang w:eastAsia="zh-CN"/>
          <w14:textFill>
            <w14:solidFill>
              <w14:schemeClr w14:val="tx1"/>
            </w14:solidFill>
          </w14:textFill>
        </w:rPr>
        <w:t>税费、</w:t>
      </w:r>
      <w:r>
        <w:rPr>
          <w:rFonts w:hint="eastAsia" w:ascii="仿宋_GB2312" w:hAnsi="仿宋_GB2312" w:eastAsia="仿宋_GB2312" w:cs="仿宋_GB2312"/>
          <w:color w:val="000000" w:themeColor="text1"/>
          <w:sz w:val="30"/>
          <w:szCs w:val="30"/>
          <w:highlight w:val="yellow"/>
          <w14:textFill>
            <w14:solidFill>
              <w14:schemeClr w14:val="tx1"/>
            </w14:solidFill>
          </w14:textFill>
        </w:rPr>
        <w:t>车辆维修保养费</w:t>
      </w:r>
      <w:r>
        <w:rPr>
          <w:rFonts w:hint="eastAsia" w:ascii="仿宋_GB2312" w:hAnsi="仿宋_GB2312" w:eastAsia="仿宋_GB2312" w:cs="仿宋_GB2312"/>
          <w:color w:val="000000" w:themeColor="text1"/>
          <w:sz w:val="30"/>
          <w:szCs w:val="30"/>
          <w:highlight w:val="yellow"/>
          <w:lang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yellow"/>
          <w:lang w:val="en-US" w:eastAsia="zh-CN"/>
          <w14:textFill>
            <w14:solidFill>
              <w14:schemeClr w14:val="tx1"/>
            </w14:solidFill>
          </w14:textFill>
        </w:rPr>
        <w:t>车辆初步清洗费</w:t>
      </w:r>
      <w:r>
        <w:rPr>
          <w:rFonts w:hint="eastAsia" w:ascii="仿宋_GB2312" w:hAnsi="仿宋_GB2312" w:eastAsia="仿宋_GB2312" w:cs="仿宋_GB2312"/>
          <w:color w:val="000000" w:themeColor="text1"/>
          <w:sz w:val="30"/>
          <w:szCs w:val="30"/>
          <w:highlight w:val="yellow"/>
          <w14:textFill>
            <w14:solidFill>
              <w14:schemeClr w14:val="tx1"/>
            </w14:solidFill>
          </w14:textFill>
        </w:rPr>
        <w:t>等为保证车辆正常运输所需的所有费用</w:t>
      </w:r>
      <w:r>
        <w:rPr>
          <w:rFonts w:hint="eastAsia" w:ascii="仿宋_GB2312" w:hAnsi="仿宋_GB2312" w:eastAsia="仿宋_GB2312" w:cs="仿宋_GB2312"/>
          <w:color w:val="000000" w:themeColor="text1"/>
          <w:sz w:val="30"/>
          <w:szCs w:val="30"/>
          <w:highlight w:val="yellow"/>
          <w:lang w:eastAsia="zh-CN"/>
          <w14:textFill>
            <w14:solidFill>
              <w14:schemeClr w14:val="tx1"/>
            </w14:solidFill>
          </w14:textFill>
        </w:rPr>
        <w:t>。</w:t>
      </w:r>
    </w:p>
    <w:p w14:paraId="2FE623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color w:val="000000" w:themeColor="text1"/>
          <w:sz w:val="30"/>
          <w:szCs w:val="30"/>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yellow"/>
          <w:lang w:val="en-US" w:eastAsia="zh-CN"/>
          <w14:textFill>
            <w14:solidFill>
              <w14:schemeClr w14:val="tx1"/>
            </w14:solidFill>
          </w14:textFill>
        </w:rPr>
        <w:t>5.空车费用：车辆洗消烘干点→猪只装运点无空车费用。</w:t>
      </w:r>
    </w:p>
    <w:p w14:paraId="39C981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default" w:ascii="仿宋_GB2312" w:hAnsi="仿宋_GB2312" w:eastAsia="仿宋_GB2312" w:cs="仿宋_GB2312"/>
          <w:color w:val="000000" w:themeColor="text1"/>
          <w:kern w:val="0"/>
          <w:sz w:val="30"/>
          <w:szCs w:val="30"/>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highlight w:val="yellow"/>
          <w:lang w:val="en-US" w:eastAsia="zh-CN"/>
          <w14:textFill>
            <w14:solidFill>
              <w14:schemeClr w14:val="tx1"/>
            </w14:solidFill>
          </w14:textFill>
        </w:rPr>
        <w:t>6.车辆洗消烘干：车辆清洗、消毒、烘干、采样、检测由甲方提供，车辆初步清洗由乙方自行负责。</w:t>
      </w:r>
    </w:p>
    <w:p w14:paraId="6744C2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themeColor="text1"/>
          <w:sz w:val="30"/>
          <w:szCs w:val="30"/>
          <w:highlight w:val="yellow"/>
          <w:lang w:val="en-US" w:eastAsia="zh-CN"/>
          <w14:textFill>
            <w14:solidFill>
              <w14:schemeClr w14:val="tx1"/>
            </w14:solidFill>
          </w14:textFill>
        </w:rPr>
        <w:t>7.结算里程数：猪只起运点→卸货终点重车距离。总的结算明细项目包括以上1-6项。</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TTMPAH+TimesNewRomanPSMT">
    <w:altName w:val="Vrinda"/>
    <w:panose1 w:val="02000500000000000000"/>
    <w:charset w:val="01"/>
    <w:family w:val="auto"/>
    <w:pitch w:val="default"/>
    <w:sig w:usb0="00000000" w:usb1="00000000" w:usb2="01010101" w:usb3="01010101" w:csb0="01010101" w:csb1="01010101"/>
  </w:font>
  <w:font w:name="Segoe UI Emoji">
    <w:altName w:val="Segoe UI"/>
    <w:panose1 w:val="020B0502040204020203"/>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EE0C">
    <w:pPr>
      <w:pStyle w:val="6"/>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3724910</wp:posOffset>
              </wp:positionH>
              <wp:positionV relativeFrom="page">
                <wp:posOffset>9792335</wp:posOffset>
              </wp:positionV>
              <wp:extent cx="109220" cy="141605"/>
              <wp:effectExtent l="0" t="0" r="0" b="0"/>
              <wp:wrapNone/>
              <wp:docPr id="15" name="文本框 1"/>
              <wp:cNvGraphicFramePr/>
              <a:graphic xmlns:a="http://schemas.openxmlformats.org/drawingml/2006/main">
                <a:graphicData uri="http://schemas.microsoft.com/office/word/2010/wordprocessingShape">
                  <wps:wsp>
                    <wps:cNvSpPr txBox="1"/>
                    <wps:spPr>
                      <a:xfrm>
                        <a:off x="0" y="0"/>
                        <a:ext cx="109220" cy="141605"/>
                      </a:xfrm>
                      <a:prstGeom prst="rect">
                        <a:avLst/>
                      </a:prstGeom>
                      <a:noFill/>
                      <a:ln>
                        <a:noFill/>
                      </a:ln>
                    </wps:spPr>
                    <wps:txbx>
                      <w:txbxContent>
                        <w:p w14:paraId="3648A7C4">
                          <w:pPr>
                            <w:spacing w:before="0" w:line="206"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pt;margin-top:771.05pt;height:11.15pt;width:8.6pt;mso-position-horizontal-relative:page;mso-position-vertical-relative:page;z-index:-251656192;mso-width-relative:page;mso-height-relative:page;" filled="f" stroked="f" coordsize="21600,21600" o:gfxdata="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eBlku2gAAAA0BAAAPAAAAAAAAAAEAIAAAACIAAABkcnMvZG93bnJldi54bWxQSwEC&#10;FAAUAAAACACHTuJAl243A7kBAAByAwAADgAAAAAAAAABACAAAAApAQAAZHJzL2Uyb0RvYy54bWxQ&#10;SwUGAAAAAAYABgBZAQAAVAUAAAAA&#10;">
              <v:fill on="f" focussize="0,0"/>
              <v:stroke on="f"/>
              <v:imagedata o:title=""/>
              <o:lock v:ext="edit" aspectratio="f"/>
              <v:textbox inset="0mm,0mm,0mm,0mm">
                <w:txbxContent>
                  <w:p w14:paraId="3648A7C4">
                    <w:pPr>
                      <w:spacing w:before="0" w:line="206"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250" w:hanging="800"/>
        <w:jc w:val="left"/>
      </w:pPr>
      <w:rPr>
        <w:rFonts w:hint="default" w:ascii="宋体" w:hAnsi="宋体" w:eastAsia="宋体" w:cs="宋体"/>
        <w:w w:val="99"/>
        <w:sz w:val="30"/>
        <w:szCs w:val="30"/>
      </w:rPr>
    </w:lvl>
    <w:lvl w:ilvl="1" w:tentative="0">
      <w:start w:val="0"/>
      <w:numFmt w:val="bullet"/>
      <w:lvlText w:val="•"/>
      <w:lvlJc w:val="left"/>
      <w:pPr>
        <w:ind w:left="2142" w:hanging="800"/>
      </w:pPr>
      <w:rPr>
        <w:rFonts w:hint="default"/>
      </w:rPr>
    </w:lvl>
    <w:lvl w:ilvl="2" w:tentative="0">
      <w:start w:val="0"/>
      <w:numFmt w:val="bullet"/>
      <w:lvlText w:val="•"/>
      <w:lvlJc w:val="left"/>
      <w:pPr>
        <w:ind w:left="3025" w:hanging="800"/>
      </w:pPr>
      <w:rPr>
        <w:rFonts w:hint="default"/>
      </w:rPr>
    </w:lvl>
    <w:lvl w:ilvl="3" w:tentative="0">
      <w:start w:val="0"/>
      <w:numFmt w:val="bullet"/>
      <w:lvlText w:val="•"/>
      <w:lvlJc w:val="left"/>
      <w:pPr>
        <w:ind w:left="3907" w:hanging="800"/>
      </w:pPr>
      <w:rPr>
        <w:rFonts w:hint="default"/>
      </w:rPr>
    </w:lvl>
    <w:lvl w:ilvl="4" w:tentative="0">
      <w:start w:val="0"/>
      <w:numFmt w:val="bullet"/>
      <w:lvlText w:val="•"/>
      <w:lvlJc w:val="left"/>
      <w:pPr>
        <w:ind w:left="4790" w:hanging="800"/>
      </w:pPr>
      <w:rPr>
        <w:rFonts w:hint="default"/>
      </w:rPr>
    </w:lvl>
    <w:lvl w:ilvl="5" w:tentative="0">
      <w:start w:val="0"/>
      <w:numFmt w:val="bullet"/>
      <w:lvlText w:val="•"/>
      <w:lvlJc w:val="left"/>
      <w:pPr>
        <w:ind w:left="5673" w:hanging="800"/>
      </w:pPr>
      <w:rPr>
        <w:rFonts w:hint="default"/>
      </w:rPr>
    </w:lvl>
    <w:lvl w:ilvl="6" w:tentative="0">
      <w:start w:val="0"/>
      <w:numFmt w:val="bullet"/>
      <w:lvlText w:val="•"/>
      <w:lvlJc w:val="left"/>
      <w:pPr>
        <w:ind w:left="6555" w:hanging="800"/>
      </w:pPr>
      <w:rPr>
        <w:rFonts w:hint="default"/>
      </w:rPr>
    </w:lvl>
    <w:lvl w:ilvl="7" w:tentative="0">
      <w:start w:val="0"/>
      <w:numFmt w:val="bullet"/>
      <w:lvlText w:val="•"/>
      <w:lvlJc w:val="left"/>
      <w:pPr>
        <w:ind w:left="7438" w:hanging="800"/>
      </w:pPr>
      <w:rPr>
        <w:rFonts w:hint="default"/>
      </w:rPr>
    </w:lvl>
    <w:lvl w:ilvl="8" w:tentative="0">
      <w:start w:val="0"/>
      <w:numFmt w:val="bullet"/>
      <w:lvlText w:val="•"/>
      <w:lvlJc w:val="left"/>
      <w:pPr>
        <w:ind w:left="8320" w:hanging="800"/>
      </w:pPr>
      <w:rPr>
        <w:rFonts w:hint="default"/>
      </w:rPr>
    </w:lvl>
  </w:abstractNum>
  <w:abstractNum w:abstractNumId="1">
    <w:nsid w:val="BB5A711E"/>
    <w:multiLevelType w:val="singleLevel"/>
    <w:tmpl w:val="BB5A711E"/>
    <w:lvl w:ilvl="0" w:tentative="0">
      <w:start w:val="3"/>
      <w:numFmt w:val="decimal"/>
      <w:suff w:val="nothing"/>
      <w:lvlText w:val="（%1）"/>
      <w:lvlJc w:val="left"/>
    </w:lvl>
  </w:abstractNum>
  <w:abstractNum w:abstractNumId="2">
    <w:nsid w:val="59ADCABA"/>
    <w:multiLevelType w:val="multilevel"/>
    <w:tmpl w:val="59ADCABA"/>
    <w:lvl w:ilvl="0" w:tentative="0">
      <w:start w:val="1"/>
      <w:numFmt w:val="decimal"/>
      <w:lvlText w:val="（%1）"/>
      <w:lvlJc w:val="left"/>
      <w:pPr>
        <w:ind w:left="1250" w:hanging="800"/>
        <w:jc w:val="left"/>
      </w:pPr>
      <w:rPr>
        <w:rFonts w:hint="default" w:ascii="宋体" w:hAnsi="宋体" w:eastAsia="宋体" w:cs="宋体"/>
        <w:w w:val="99"/>
        <w:sz w:val="30"/>
        <w:szCs w:val="30"/>
      </w:rPr>
    </w:lvl>
    <w:lvl w:ilvl="1" w:tentative="0">
      <w:start w:val="0"/>
      <w:numFmt w:val="bullet"/>
      <w:lvlText w:val="•"/>
      <w:lvlJc w:val="left"/>
      <w:pPr>
        <w:ind w:left="2142" w:hanging="800"/>
      </w:pPr>
      <w:rPr>
        <w:rFonts w:hint="default"/>
      </w:rPr>
    </w:lvl>
    <w:lvl w:ilvl="2" w:tentative="0">
      <w:start w:val="0"/>
      <w:numFmt w:val="bullet"/>
      <w:lvlText w:val="•"/>
      <w:lvlJc w:val="left"/>
      <w:pPr>
        <w:ind w:left="3025" w:hanging="800"/>
      </w:pPr>
      <w:rPr>
        <w:rFonts w:hint="default"/>
      </w:rPr>
    </w:lvl>
    <w:lvl w:ilvl="3" w:tentative="0">
      <w:start w:val="0"/>
      <w:numFmt w:val="bullet"/>
      <w:lvlText w:val="•"/>
      <w:lvlJc w:val="left"/>
      <w:pPr>
        <w:ind w:left="3907" w:hanging="800"/>
      </w:pPr>
      <w:rPr>
        <w:rFonts w:hint="default"/>
      </w:rPr>
    </w:lvl>
    <w:lvl w:ilvl="4" w:tentative="0">
      <w:start w:val="0"/>
      <w:numFmt w:val="bullet"/>
      <w:lvlText w:val="•"/>
      <w:lvlJc w:val="left"/>
      <w:pPr>
        <w:ind w:left="4790" w:hanging="800"/>
      </w:pPr>
      <w:rPr>
        <w:rFonts w:hint="default"/>
      </w:rPr>
    </w:lvl>
    <w:lvl w:ilvl="5" w:tentative="0">
      <w:start w:val="0"/>
      <w:numFmt w:val="bullet"/>
      <w:lvlText w:val="•"/>
      <w:lvlJc w:val="left"/>
      <w:pPr>
        <w:ind w:left="5673" w:hanging="800"/>
      </w:pPr>
      <w:rPr>
        <w:rFonts w:hint="default"/>
      </w:rPr>
    </w:lvl>
    <w:lvl w:ilvl="6" w:tentative="0">
      <w:start w:val="0"/>
      <w:numFmt w:val="bullet"/>
      <w:lvlText w:val="•"/>
      <w:lvlJc w:val="left"/>
      <w:pPr>
        <w:ind w:left="6555" w:hanging="800"/>
      </w:pPr>
      <w:rPr>
        <w:rFonts w:hint="default"/>
      </w:rPr>
    </w:lvl>
    <w:lvl w:ilvl="7" w:tentative="0">
      <w:start w:val="0"/>
      <w:numFmt w:val="bullet"/>
      <w:lvlText w:val="•"/>
      <w:lvlJc w:val="left"/>
      <w:pPr>
        <w:ind w:left="7438" w:hanging="800"/>
      </w:pPr>
      <w:rPr>
        <w:rFonts w:hint="default"/>
      </w:rPr>
    </w:lvl>
    <w:lvl w:ilvl="8" w:tentative="0">
      <w:start w:val="0"/>
      <w:numFmt w:val="bullet"/>
      <w:lvlText w:val="•"/>
      <w:lvlJc w:val="left"/>
      <w:pPr>
        <w:ind w:left="8320" w:hanging="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D6117"/>
    <w:rsid w:val="0399640A"/>
    <w:rsid w:val="077A7C30"/>
    <w:rsid w:val="0B8A0A30"/>
    <w:rsid w:val="0BD93583"/>
    <w:rsid w:val="0D2A551E"/>
    <w:rsid w:val="0F4E34F2"/>
    <w:rsid w:val="13CC1508"/>
    <w:rsid w:val="1503144A"/>
    <w:rsid w:val="17707E5D"/>
    <w:rsid w:val="17ED2F94"/>
    <w:rsid w:val="19EC1A12"/>
    <w:rsid w:val="1A3977A9"/>
    <w:rsid w:val="1AAD16F6"/>
    <w:rsid w:val="1C7E1C22"/>
    <w:rsid w:val="1C822387"/>
    <w:rsid w:val="1CC80EC6"/>
    <w:rsid w:val="1DFB490D"/>
    <w:rsid w:val="200174FC"/>
    <w:rsid w:val="22276D94"/>
    <w:rsid w:val="25581488"/>
    <w:rsid w:val="26276007"/>
    <w:rsid w:val="26742F1D"/>
    <w:rsid w:val="27497C28"/>
    <w:rsid w:val="27733427"/>
    <w:rsid w:val="296E7C07"/>
    <w:rsid w:val="2A5A0AC9"/>
    <w:rsid w:val="2D7633EA"/>
    <w:rsid w:val="2D775973"/>
    <w:rsid w:val="2DD702D0"/>
    <w:rsid w:val="30C606E6"/>
    <w:rsid w:val="34331AAF"/>
    <w:rsid w:val="37B25C6C"/>
    <w:rsid w:val="38323305"/>
    <w:rsid w:val="399556FA"/>
    <w:rsid w:val="3CFC5558"/>
    <w:rsid w:val="3DA858AC"/>
    <w:rsid w:val="4CD6454C"/>
    <w:rsid w:val="4FD2142D"/>
    <w:rsid w:val="51E951E6"/>
    <w:rsid w:val="5265465B"/>
    <w:rsid w:val="5266163F"/>
    <w:rsid w:val="52F37C45"/>
    <w:rsid w:val="53033AEE"/>
    <w:rsid w:val="53522541"/>
    <w:rsid w:val="53BB25CD"/>
    <w:rsid w:val="53D029BE"/>
    <w:rsid w:val="544133D6"/>
    <w:rsid w:val="56A9475C"/>
    <w:rsid w:val="56CC373D"/>
    <w:rsid w:val="58183D5E"/>
    <w:rsid w:val="58354269"/>
    <w:rsid w:val="59826569"/>
    <w:rsid w:val="5AC93971"/>
    <w:rsid w:val="5AE43878"/>
    <w:rsid w:val="5B94144C"/>
    <w:rsid w:val="5BB552E9"/>
    <w:rsid w:val="5CEE064A"/>
    <w:rsid w:val="5F0E580E"/>
    <w:rsid w:val="6A522424"/>
    <w:rsid w:val="6B553727"/>
    <w:rsid w:val="6F49516F"/>
    <w:rsid w:val="737C7606"/>
    <w:rsid w:val="75687B1A"/>
    <w:rsid w:val="78435DB1"/>
    <w:rsid w:val="78477027"/>
    <w:rsid w:val="78F73ED1"/>
    <w:rsid w:val="798D34DF"/>
    <w:rsid w:val="79B00C4D"/>
    <w:rsid w:val="7BA934F5"/>
    <w:rsid w:val="7C2108EA"/>
    <w:rsid w:val="7D610A06"/>
    <w:rsid w:val="7E24655B"/>
    <w:rsid w:val="7FE6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844"/>
      <w:outlineLvl w:val="1"/>
    </w:pPr>
    <w:rPr>
      <w:rFonts w:ascii="Microsoft JhengHei" w:hAnsi="Microsoft JhengHei" w:eastAsia="Microsoft JhengHei" w:cs="Microsoft JhengHei"/>
      <w:b/>
      <w:bCs/>
      <w:sz w:val="72"/>
      <w:szCs w:val="72"/>
    </w:rPr>
  </w:style>
  <w:style w:type="paragraph" w:styleId="3">
    <w:name w:val="heading 2"/>
    <w:basedOn w:val="1"/>
    <w:next w:val="1"/>
    <w:qFormat/>
    <w:uiPriority w:val="1"/>
    <w:pPr>
      <w:spacing w:line="563" w:lineRule="exact"/>
      <w:ind w:left="2108"/>
      <w:outlineLvl w:val="2"/>
    </w:pPr>
    <w:rPr>
      <w:rFonts w:ascii="Microsoft JhengHei" w:hAnsi="Microsoft JhengHei" w:eastAsia="Microsoft JhengHei" w:cs="Microsoft JhengHei"/>
      <w:b/>
      <w:bCs/>
      <w:sz w:val="44"/>
      <w:szCs w:val="44"/>
    </w:rPr>
  </w:style>
  <w:style w:type="paragraph" w:styleId="4">
    <w:name w:val="heading 3"/>
    <w:basedOn w:val="1"/>
    <w:next w:val="1"/>
    <w:qFormat/>
    <w:uiPriority w:val="1"/>
    <w:pPr>
      <w:spacing w:line="482" w:lineRule="exact"/>
      <w:ind w:left="690"/>
      <w:outlineLvl w:val="3"/>
    </w:pPr>
    <w:rPr>
      <w:rFonts w:ascii="Microsoft JhengHei" w:hAnsi="Microsoft JhengHei" w:eastAsia="Microsoft JhengHei" w:cs="Microsoft JhengHei"/>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28"/>
    </w:pPr>
    <w:rPr>
      <w:rFonts w:ascii="宋体" w:hAnsi="宋体" w:eastAsia="宋体" w:cs="宋体"/>
      <w:sz w:val="32"/>
      <w:szCs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1"/>
    <w:pPr>
      <w:ind w:left="128" w:hanging="800"/>
    </w:pPr>
    <w:rPr>
      <w:rFonts w:ascii="宋体" w:hAnsi="宋体" w:eastAsia="宋体" w:cs="宋体"/>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3799</Words>
  <Characters>4199</Characters>
  <Lines>0</Lines>
  <Paragraphs>0</Paragraphs>
  <TotalTime>16</TotalTime>
  <ScaleCrop>false</ScaleCrop>
  <LinksUpToDate>false</LinksUpToDate>
  <CharactersWithSpaces>4277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2024-02-05T09:16:00Z</dcterms:created>
  <dc:creator>admin</dc:creator>
  <cp:lastModifiedBy>醉丶无眄</cp:lastModifiedBy>
  <dcterms:modified xsi:type="dcterms:W3CDTF">2024-12-18T04:26:18Z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BF1D2C26CDD74C08A27D449505B055D5_13</vt:lpwstr>
  </property>
</Properties>
</file>