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1262" w:lineRule="exact"/>
        <w:ind w:left="0" w:leftChars="0" w:firstLine="0" w:firstLineChars="0"/>
        <w:jc w:val="both"/>
      </w:pPr>
      <w:r>
        <w:rPr>
          <w:rFonts w:hint="eastAsia" w:eastAsia="宋体"/>
          <w:lang w:val="en-US" w:eastAsia="zh-CN"/>
        </w:rPr>
        <w:t xml:space="preserve">                        </w:t>
      </w:r>
      <w:r>
        <w:drawing>
          <wp:inline distT="0" distB="0" distL="114300" distR="114300">
            <wp:extent cx="646430" cy="431800"/>
            <wp:effectExtent l="0" t="0" r="1270" b="635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646430" cy="431800"/>
                    </a:xfrm>
                    <a:prstGeom prst="rect">
                      <a:avLst/>
                    </a:prstGeom>
                  </pic:spPr>
                </pic:pic>
              </a:graphicData>
            </a:graphic>
          </wp:inline>
        </w:drawing>
      </w:r>
    </w:p>
    <w:p>
      <w:pPr>
        <w:pStyle w:val="2"/>
        <w:spacing w:line="1262" w:lineRule="exact"/>
        <w:ind w:firstLine="1041" w:firstLineChars="200"/>
        <w:jc w:val="left"/>
        <w:rPr>
          <w:sz w:val="52"/>
          <w:szCs w:val="52"/>
        </w:rPr>
      </w:pPr>
      <w:r>
        <w:rPr>
          <w:sz w:val="52"/>
          <w:szCs w:val="52"/>
        </w:rPr>
        <w:t>温氏食品集团股份有限公司</w:t>
      </w:r>
    </w:p>
    <w:p>
      <w:pPr>
        <w:pStyle w:val="6"/>
        <w:spacing w:before="16"/>
        <w:ind w:left="0"/>
        <w:rPr>
          <w:rFonts w:ascii="Microsoft JhengHei"/>
          <w:b/>
          <w:sz w:val="105"/>
        </w:rPr>
      </w:pPr>
    </w:p>
    <w:p>
      <w:pPr>
        <w:spacing w:before="0"/>
        <w:ind w:left="3732" w:right="3438" w:firstLine="0"/>
        <w:jc w:val="center"/>
        <w:rPr>
          <w:rFonts w:hint="eastAsia" w:ascii="Microsoft JhengHei" w:eastAsia="Microsoft JhengHei"/>
          <w:b/>
          <w:sz w:val="52"/>
          <w:szCs w:val="52"/>
        </w:rPr>
      </w:pPr>
      <w:r>
        <w:rPr>
          <w:rFonts w:hint="eastAsia" w:ascii="Microsoft JhengHei" w:eastAsia="Microsoft JhengHei"/>
          <w:b/>
          <w:sz w:val="52"/>
          <w:szCs w:val="52"/>
        </w:rPr>
        <w:t>招</w:t>
      </w:r>
    </w:p>
    <w:p>
      <w:pPr>
        <w:spacing w:before="0"/>
        <w:ind w:left="3732" w:right="3438" w:firstLine="0"/>
        <w:jc w:val="center"/>
        <w:rPr>
          <w:rFonts w:hint="eastAsia" w:ascii="Microsoft JhengHei" w:eastAsia="Microsoft JhengHei"/>
          <w:b/>
          <w:sz w:val="52"/>
          <w:szCs w:val="52"/>
        </w:rPr>
      </w:pPr>
      <w:r>
        <w:rPr>
          <w:rFonts w:hint="eastAsia" w:ascii="Microsoft JhengHei" w:eastAsia="Microsoft JhengHei"/>
          <w:b/>
          <w:sz w:val="52"/>
          <w:szCs w:val="52"/>
        </w:rPr>
        <w:t>标</w:t>
      </w:r>
    </w:p>
    <w:p>
      <w:pPr>
        <w:spacing w:before="0"/>
        <w:ind w:left="3732" w:right="3438" w:firstLine="0"/>
        <w:jc w:val="center"/>
        <w:rPr>
          <w:rFonts w:hint="eastAsia" w:ascii="Microsoft JhengHei" w:eastAsia="Microsoft JhengHei"/>
          <w:b/>
          <w:sz w:val="52"/>
          <w:szCs w:val="52"/>
        </w:rPr>
      </w:pPr>
      <w:r>
        <w:rPr>
          <w:rFonts w:hint="eastAsia" w:ascii="Microsoft JhengHei" w:eastAsia="Microsoft JhengHei"/>
          <w:b/>
          <w:sz w:val="52"/>
          <w:szCs w:val="52"/>
        </w:rPr>
        <w:t>文</w:t>
      </w:r>
    </w:p>
    <w:p>
      <w:pPr>
        <w:spacing w:before="0"/>
        <w:ind w:left="3732" w:right="3438" w:firstLine="0"/>
        <w:jc w:val="center"/>
        <w:rPr>
          <w:rFonts w:hint="eastAsia" w:ascii="Microsoft JhengHei" w:eastAsia="Microsoft JhengHei"/>
          <w:b/>
          <w:sz w:val="52"/>
          <w:szCs w:val="52"/>
        </w:rPr>
      </w:pPr>
      <w:r>
        <w:rPr>
          <w:rFonts w:hint="eastAsia" w:ascii="Microsoft JhengHei" w:eastAsia="Microsoft JhengHei"/>
          <w:b/>
          <w:sz w:val="52"/>
          <w:szCs w:val="52"/>
        </w:rPr>
        <w:t>件</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Microsoft JhengHei" w:eastAsia="宋体"/>
          <w:b/>
          <w:color w:val="FF0000"/>
          <w:sz w:val="24"/>
          <w:szCs w:val="24"/>
          <w:lang w:eastAsia="zh-CN"/>
        </w:rPr>
      </w:pPr>
      <w:r>
        <w:rPr>
          <w:rFonts w:hint="eastAsia" w:ascii="Microsoft JhengHei"/>
          <w:b/>
          <w:color w:val="FF0000"/>
          <w:sz w:val="24"/>
          <w:szCs w:val="24"/>
          <w:lang w:eastAsia="zh-CN"/>
        </w:rPr>
        <w:t>（</w:t>
      </w:r>
      <w:r>
        <w:rPr>
          <w:rFonts w:hint="eastAsia" w:ascii="Microsoft JhengHei"/>
          <w:b/>
          <w:color w:val="FF0000"/>
          <w:sz w:val="24"/>
          <w:szCs w:val="24"/>
          <w:lang w:val="en-US" w:eastAsia="zh-CN"/>
        </w:rPr>
        <w:t>各招标单位根据实际情况修改部分内容</w:t>
      </w:r>
      <w:r>
        <w:rPr>
          <w:rFonts w:hint="eastAsia" w:ascii="Microsoft JhengHei"/>
          <w:b/>
          <w:color w:val="FF0000"/>
          <w:sz w:val="24"/>
          <w:szCs w:val="24"/>
          <w:lang w:eastAsia="zh-CN"/>
        </w:rPr>
        <w:t>）</w:t>
      </w:r>
    </w:p>
    <w:p>
      <w:pPr>
        <w:spacing w:before="0"/>
        <w:ind w:left="3732" w:right="3438" w:firstLine="0"/>
        <w:jc w:val="center"/>
        <w:rPr>
          <w:rFonts w:hint="eastAsia" w:ascii="Microsoft JhengHei" w:eastAsia="Microsoft JhengHei"/>
          <w:b/>
          <w:sz w:val="52"/>
          <w:szCs w:val="52"/>
        </w:rPr>
      </w:pPr>
    </w:p>
    <w:p>
      <w:pPr>
        <w:spacing w:before="0"/>
        <w:ind w:left="3732" w:right="3438" w:firstLine="0"/>
        <w:jc w:val="center"/>
        <w:rPr>
          <w:rFonts w:hint="eastAsia" w:ascii="Microsoft JhengHei" w:eastAsia="Microsoft JhengHei"/>
          <w:b/>
          <w:sz w:val="52"/>
          <w:szCs w:val="52"/>
        </w:rPr>
      </w:pPr>
    </w:p>
    <w:p>
      <w:pPr>
        <w:spacing w:before="0"/>
        <w:ind w:left="3732" w:right="3438" w:firstLine="0"/>
        <w:jc w:val="center"/>
        <w:rPr>
          <w:rFonts w:hint="eastAsia" w:ascii="Microsoft JhengHei" w:eastAsia="Microsoft JhengHei"/>
          <w:b/>
          <w:sz w:val="52"/>
          <w:szCs w:val="52"/>
        </w:rPr>
      </w:pPr>
    </w:p>
    <w:p>
      <w:pPr>
        <w:widowControl w:val="0"/>
        <w:autoSpaceDE w:val="0"/>
        <w:autoSpaceDN w:val="0"/>
        <w:spacing w:line="332" w:lineRule="exact"/>
        <w:rPr>
          <w:rFonts w:ascii="仿宋" w:hAnsi="仿宋" w:cs="仿宋"/>
          <w:color w:val="000000"/>
          <w:sz w:val="32"/>
          <w:szCs w:val="22"/>
          <w:lang w:val="en-US" w:eastAsia="en-US" w:bidi="ar-SA"/>
        </w:rPr>
      </w:pPr>
      <w:r>
        <w:rPr>
          <w:rFonts w:ascii="仿宋" w:hAnsi="仿宋" w:cs="仿宋"/>
          <w:color w:val="000000"/>
          <w:sz w:val="32"/>
          <w:szCs w:val="22"/>
          <w:lang w:val="en-US" w:eastAsia="en-US" w:bidi="ar-SA"/>
        </w:rPr>
        <w:t>招标项目名称：</w:t>
      </w:r>
      <w:r>
        <w:rPr>
          <w:rFonts w:hint="eastAsia" w:ascii="TTMPAH+TimesNewRomanPSMT" w:hAnsi="Calibri"/>
          <w:color w:val="000000"/>
          <w:sz w:val="32"/>
          <w:szCs w:val="22"/>
          <w:u w:val="single"/>
          <w:lang w:val="en-US" w:eastAsia="zh-CN" w:bidi="ar-SA"/>
        </w:rPr>
        <w:t>曲靖市沾益区</w:t>
      </w:r>
      <w:r>
        <w:rPr>
          <w:rFonts w:hint="eastAsia" w:ascii="TTMPAH+TimesNewRomanPSMT" w:hAnsi="Calibri"/>
          <w:color w:val="000000"/>
          <w:sz w:val="32"/>
          <w:szCs w:val="22"/>
          <w:u w:val="single"/>
          <w:lang w:val="en-US" w:eastAsia="en-US" w:bidi="ar-SA"/>
        </w:rPr>
        <w:t>温氏畜牧有限公司猪苗及种猪运输招标</w:t>
      </w:r>
    </w:p>
    <w:p>
      <w:pPr>
        <w:widowControl w:val="0"/>
        <w:autoSpaceDE w:val="0"/>
        <w:autoSpaceDN w:val="0"/>
        <w:spacing w:line="332" w:lineRule="exact"/>
        <w:rPr>
          <w:rFonts w:hint="eastAsia" w:ascii="仿宋" w:hAnsi="仿宋" w:cs="仿宋"/>
          <w:color w:val="000000"/>
          <w:sz w:val="32"/>
          <w:szCs w:val="22"/>
          <w:lang w:val="en-US" w:eastAsia="zh-CN" w:bidi="ar-SA"/>
        </w:rPr>
      </w:pPr>
    </w:p>
    <w:p>
      <w:pPr>
        <w:widowControl w:val="0"/>
        <w:autoSpaceDE w:val="0"/>
        <w:autoSpaceDN w:val="0"/>
        <w:spacing w:line="332" w:lineRule="exact"/>
        <w:rPr>
          <w:rFonts w:hint="eastAsia" w:ascii="仿宋" w:hAnsi="仿宋" w:cs="仿宋"/>
          <w:color w:val="000000"/>
          <w:sz w:val="32"/>
          <w:szCs w:val="22"/>
          <w:lang w:val="en-US" w:eastAsia="zh-CN" w:bidi="ar-SA"/>
        </w:rPr>
      </w:pPr>
      <w:r>
        <w:rPr>
          <w:rFonts w:hint="eastAsia" w:ascii="仿宋" w:hAnsi="仿宋" w:cs="仿宋"/>
          <w:color w:val="000000"/>
          <w:sz w:val="32"/>
          <w:szCs w:val="22"/>
          <w:lang w:val="en-US" w:eastAsia="zh-CN" w:bidi="ar-SA"/>
        </w:rPr>
        <w:t>招标人：曲靖市沾益区温氏畜牧有限公司</w:t>
      </w:r>
    </w:p>
    <w:p>
      <w:pPr>
        <w:widowControl w:val="0"/>
        <w:autoSpaceDE w:val="0"/>
        <w:autoSpaceDN w:val="0"/>
        <w:spacing w:line="332" w:lineRule="exact"/>
        <w:rPr>
          <w:rFonts w:hint="default" w:ascii="仿宋" w:hAnsi="仿宋" w:cs="仿宋"/>
          <w:color w:val="000000"/>
          <w:sz w:val="32"/>
          <w:szCs w:val="22"/>
          <w:lang w:val="en-US" w:eastAsia="zh-CN" w:bidi="ar-SA"/>
        </w:rPr>
      </w:pPr>
    </w:p>
    <w:p>
      <w:pPr>
        <w:widowControl w:val="0"/>
        <w:autoSpaceDE w:val="0"/>
        <w:autoSpaceDN w:val="0"/>
        <w:spacing w:line="319" w:lineRule="exact"/>
        <w:rPr>
          <w:rFonts w:ascii="仿宋" w:hAnsi="仿宋" w:cs="仿宋"/>
          <w:color w:val="000000"/>
          <w:sz w:val="32"/>
          <w:szCs w:val="22"/>
          <w:lang w:val="en-US" w:eastAsia="en-US" w:bidi="ar-SA"/>
        </w:rPr>
      </w:pPr>
      <w:r>
        <w:rPr>
          <w:rFonts w:ascii="仿宋" w:hAnsi="仿宋" w:cs="仿宋"/>
          <w:color w:val="000000"/>
          <w:sz w:val="32"/>
          <w:szCs w:val="22"/>
          <w:lang w:val="en-US" w:eastAsia="en-US" w:bidi="ar-SA"/>
        </w:rPr>
        <w:t>招标组织单位：</w:t>
      </w:r>
      <w:r>
        <w:rPr>
          <w:rFonts w:hint="eastAsia" w:ascii="仿宋" w:hAnsi="仿宋" w:cs="仿宋"/>
          <w:color w:val="000000"/>
          <w:sz w:val="32"/>
          <w:szCs w:val="22"/>
          <w:lang w:val="en-US" w:eastAsia="zh-CN" w:bidi="ar-SA"/>
        </w:rPr>
        <w:t>曲靖市沾益区温氏畜牧有限公司</w:t>
      </w:r>
    </w:p>
    <w:p>
      <w:pPr>
        <w:widowControl w:val="0"/>
        <w:autoSpaceDE w:val="0"/>
        <w:autoSpaceDN w:val="0"/>
        <w:spacing w:line="319" w:lineRule="exact"/>
        <w:rPr>
          <w:rFonts w:ascii="仿宋" w:hAnsi="仿宋" w:cs="仿宋"/>
          <w:color w:val="000000"/>
          <w:sz w:val="32"/>
          <w:szCs w:val="22"/>
          <w:lang w:val="en-US" w:eastAsia="en-US" w:bidi="ar-SA"/>
        </w:rPr>
      </w:pPr>
    </w:p>
    <w:p>
      <w:pPr>
        <w:widowControl w:val="0"/>
        <w:autoSpaceDE w:val="0"/>
        <w:autoSpaceDN w:val="0"/>
        <w:spacing w:line="332" w:lineRule="exact"/>
        <w:rPr>
          <w:rFonts w:hint="eastAsia" w:hAnsi="Calibri" w:eastAsia="宋体"/>
          <w:color w:val="000000"/>
          <w:sz w:val="32"/>
          <w:szCs w:val="22"/>
          <w:lang w:val="en-US" w:eastAsia="zh-CN" w:bidi="ar-SA"/>
        </w:rPr>
      </w:pPr>
      <w:r>
        <w:rPr>
          <w:rFonts w:ascii="仿宋" w:hAnsi="仿宋" w:cs="仿宋"/>
          <w:color w:val="000000"/>
          <w:sz w:val="32"/>
          <w:szCs w:val="22"/>
          <w:lang w:val="en-US" w:eastAsia="en-US" w:bidi="ar-SA"/>
        </w:rPr>
        <w:t>招标编号：</w:t>
      </w:r>
      <w:r>
        <w:rPr>
          <w:rFonts w:hint="eastAsia" w:ascii="宋体" w:hAnsi="宋体" w:eastAsia="宋体" w:cs="宋体"/>
          <w:color w:val="000000"/>
          <w:spacing w:val="-2"/>
          <w:sz w:val="32"/>
          <w:szCs w:val="22"/>
          <w:highlight w:val="yellow"/>
          <w:u w:val="single"/>
          <w:lang w:val="en-US" w:eastAsia="en-US" w:bidi="ar-SA"/>
        </w:rPr>
        <w:t>WS</w:t>
      </w:r>
      <w:r>
        <w:rPr>
          <w:rFonts w:hint="eastAsia" w:cs="宋体"/>
          <w:color w:val="000000"/>
          <w:spacing w:val="-2"/>
          <w:sz w:val="32"/>
          <w:szCs w:val="22"/>
          <w:highlight w:val="yellow"/>
          <w:u w:val="single"/>
          <w:lang w:val="en-US" w:eastAsia="zh-CN" w:bidi="ar-SA"/>
        </w:rPr>
        <w:t>ZY</w:t>
      </w:r>
      <w:r>
        <w:rPr>
          <w:rFonts w:hint="eastAsia" w:ascii="宋体" w:hAnsi="宋体" w:eastAsia="宋体" w:cs="宋体"/>
          <w:color w:val="000000"/>
          <w:spacing w:val="-2"/>
          <w:sz w:val="32"/>
          <w:szCs w:val="22"/>
          <w:highlight w:val="yellow"/>
          <w:u w:val="single"/>
          <w:lang w:val="en-US" w:eastAsia="en-US" w:bidi="ar-SA"/>
        </w:rPr>
        <w:t>ZMYS2024030</w:t>
      </w:r>
      <w:r>
        <w:rPr>
          <w:rFonts w:hint="eastAsia" w:cs="宋体"/>
          <w:color w:val="000000"/>
          <w:spacing w:val="-2"/>
          <w:sz w:val="32"/>
          <w:szCs w:val="22"/>
          <w:highlight w:val="yellow"/>
          <w:u w:val="single"/>
          <w:lang w:val="en-US" w:eastAsia="zh-CN" w:bidi="ar-SA"/>
        </w:rPr>
        <w:t>9</w:t>
      </w:r>
    </w:p>
    <w:p>
      <w:pPr>
        <w:spacing w:before="0"/>
        <w:ind w:right="3438"/>
        <w:jc w:val="both"/>
        <w:rPr>
          <w:rFonts w:hint="eastAsia" w:ascii="Microsoft JhengHei" w:eastAsia="Microsoft JhengHei"/>
          <w:b/>
          <w:sz w:val="52"/>
          <w:szCs w:val="52"/>
        </w:rPr>
      </w:pPr>
    </w:p>
    <w:p>
      <w:pPr>
        <w:tabs>
          <w:tab w:val="left" w:pos="4316"/>
        </w:tabs>
        <w:spacing w:before="0" w:line="563" w:lineRule="exact"/>
        <w:ind w:right="0" w:firstLine="880" w:firstLineChars="400"/>
        <w:jc w:val="left"/>
        <w:rPr>
          <w:rFonts w:hint="eastAsia" w:ascii="仿宋_GB2312" w:hAnsi="仿宋_GB2312" w:eastAsia="仿宋_GB2312" w:cs="仿宋_GB2312"/>
          <w:b/>
          <w:sz w:val="44"/>
          <w:szCs w:val="44"/>
        </w:rPr>
      </w:pPr>
      <w:r>
        <w:drawing>
          <wp:anchor distT="0" distB="0" distL="114300" distR="114300" simplePos="0" relativeHeight="251659264" behindDoc="0" locked="0" layoutInCell="1" allowOverlap="1">
            <wp:simplePos x="0" y="0"/>
            <wp:positionH relativeFrom="column">
              <wp:posOffset>5601335</wp:posOffset>
            </wp:positionH>
            <wp:positionV relativeFrom="paragraph">
              <wp:posOffset>-598170</wp:posOffset>
            </wp:positionV>
            <wp:extent cx="646430" cy="431800"/>
            <wp:effectExtent l="0" t="0" r="1270" b="6350"/>
            <wp:wrapSquare wrapText="bothSides"/>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646430" cy="431800"/>
                    </a:xfrm>
                    <a:prstGeom prst="rect">
                      <a:avLst/>
                    </a:prstGeom>
                  </pic:spPr>
                </pic:pic>
              </a:graphicData>
            </a:graphic>
          </wp:anchor>
        </w:drawing>
      </w:r>
      <w:r>
        <w:rPr>
          <w:rFonts w:hint="eastAsia" w:ascii="仿宋_GB2312" w:hAnsi="仿宋_GB2312" w:eastAsia="仿宋_GB2312" w:cs="仿宋_GB2312"/>
          <w:b/>
          <w:sz w:val="44"/>
          <w:szCs w:val="44"/>
        </w:rPr>
        <w:t>第一部分</w:t>
      </w:r>
      <w:r>
        <w:rPr>
          <w:rFonts w:hint="eastAsia" w:ascii="仿宋_GB2312" w:hAnsi="仿宋_GB2312" w:eastAsia="仿宋_GB2312" w:cs="仿宋_GB2312"/>
          <w:b/>
          <w:sz w:val="44"/>
          <w:szCs w:val="44"/>
          <w:lang w:val="en-US" w:eastAsia="zh-CN"/>
        </w:rPr>
        <w:t xml:space="preserve">  </w:t>
      </w:r>
      <w:r>
        <w:rPr>
          <w:rFonts w:hint="eastAsia" w:ascii="仿宋_GB2312" w:hAnsi="仿宋_GB2312" w:eastAsia="仿宋_GB2312" w:cs="仿宋_GB2312"/>
          <w:b/>
          <w:sz w:val="44"/>
          <w:szCs w:val="44"/>
        </w:rPr>
        <w:t>投标项目说明</w:t>
      </w:r>
    </w:p>
    <w:p>
      <w:pPr>
        <w:spacing w:before="0" w:line="240" w:lineRule="auto"/>
        <w:ind w:left="0" w:right="0" w:firstLine="0"/>
        <w:jc w:val="left"/>
        <w:rPr>
          <w:rFonts w:hint="eastAsia" w:ascii="仿宋_GB2312" w:hAnsi="仿宋_GB2312" w:eastAsia="仿宋_GB2312" w:cs="仿宋_GB2312"/>
          <w:b/>
          <w:sz w:val="30"/>
          <w:szCs w:val="30"/>
          <w:lang w:val="en-US" w:eastAsia="zh-CN"/>
        </w:rPr>
      </w:pPr>
    </w:p>
    <w:p>
      <w:pPr>
        <w:spacing w:before="0" w:line="240" w:lineRule="auto"/>
        <w:ind w:left="0" w:right="0" w:firstLine="0"/>
        <w:jc w:val="lef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lang w:val="en-US" w:eastAsia="zh-CN"/>
        </w:rPr>
        <w:t>1.</w:t>
      </w:r>
      <w:r>
        <w:rPr>
          <w:rFonts w:hint="eastAsia" w:ascii="仿宋_GB2312" w:hAnsi="仿宋_GB2312" w:eastAsia="仿宋_GB2312" w:cs="仿宋_GB2312"/>
          <w:b/>
          <w:sz w:val="30"/>
          <w:szCs w:val="30"/>
        </w:rPr>
        <w:t>招标人简介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00" w:firstLineChars="200"/>
        <w:textAlignment w:val="auto"/>
        <w:rPr>
          <w:rFonts w:hint="eastAsia" w:ascii="仿宋_GB2312" w:hAnsi="仿宋_GB2312" w:eastAsia="仿宋_GB2312" w:cs="仿宋_GB2312"/>
          <w:color w:val="000000"/>
          <w:sz w:val="30"/>
          <w:szCs w:val="30"/>
          <w:lang w:val="en-US" w:eastAsia="en-US" w:bidi="ar-SA"/>
        </w:rPr>
      </w:pPr>
      <w:r>
        <w:rPr>
          <w:rFonts w:hint="eastAsia" w:ascii="仿宋_GB2312" w:hAnsi="仿宋_GB2312" w:eastAsia="仿宋_GB2312" w:cs="仿宋_GB2312"/>
          <w:i w:val="0"/>
          <w:iCs w:val="0"/>
          <w:caps w:val="0"/>
          <w:color w:val="333333"/>
          <w:spacing w:val="0"/>
          <w:sz w:val="30"/>
          <w:szCs w:val="30"/>
          <w:lang w:val="en-US" w:eastAsia="zh-CN"/>
        </w:rPr>
        <w:t>曲靖市沾益区温氏畜牧有限公司，成立于2015年，是温氏集团在云南曲靖市投资的3家一体化养猪公司其中之一。总部和饲料厂坐落于云南省曲靖市沾益区沾益工业园区城西片区，占地45亩，饲料厂年产24.5万吨饲料；公司目前在曲靖市沾益区、马龙区两地有2个年度上市仔猪规模20万头的种猪场和1个年上市仔猪规模30万头的种猪场，年上市50万头肉猪</w:t>
      </w:r>
      <w:r>
        <w:rPr>
          <w:rFonts w:hint="eastAsia" w:ascii="仿宋_GB2312" w:hAnsi="仿宋_GB2312" w:eastAsia="仿宋_GB2312" w:cs="仿宋_GB2312"/>
          <w:i w:val="0"/>
          <w:iCs w:val="0"/>
          <w:caps w:val="0"/>
          <w:color w:val="333333"/>
          <w:spacing w:val="0"/>
          <w:sz w:val="30"/>
          <w:szCs w:val="30"/>
        </w:rPr>
        <w:t>。</w:t>
      </w:r>
    </w:p>
    <w:p>
      <w:pPr>
        <w:numPr>
          <w:ilvl w:val="0"/>
          <w:numId w:val="0"/>
        </w:numPr>
        <w:spacing w:before="0" w:line="240" w:lineRule="auto"/>
        <w:ind w:right="0" w:rightChars="0"/>
        <w:jc w:val="left"/>
        <w:rPr>
          <w:rFonts w:hint="eastAsia" w:ascii="仿宋_GB2312" w:hAnsi="仿宋_GB2312" w:eastAsia="仿宋_GB2312" w:cs="仿宋_GB2312"/>
          <w:b w:val="0"/>
          <w:bCs/>
          <w:sz w:val="30"/>
          <w:szCs w:val="30"/>
          <w:highlight w:val="yellow"/>
          <w:u w:val="single"/>
          <w:lang w:val="en-US" w:eastAsia="zh-CN"/>
        </w:rPr>
      </w:pPr>
      <w:r>
        <w:rPr>
          <w:rFonts w:hint="eastAsia" w:ascii="仿宋_GB2312" w:hAnsi="仿宋_GB2312" w:eastAsia="仿宋_GB2312" w:cs="仿宋_GB2312"/>
          <w:b/>
          <w:sz w:val="30"/>
          <w:szCs w:val="30"/>
          <w:lang w:val="en-US" w:eastAsia="zh-CN"/>
        </w:rPr>
        <w:t>2.</w:t>
      </w:r>
      <w:r>
        <w:rPr>
          <w:rFonts w:hint="eastAsia" w:ascii="仿宋_GB2312" w:hAnsi="仿宋_GB2312" w:eastAsia="仿宋_GB2312" w:cs="仿宋_GB2312"/>
          <w:b/>
          <w:sz w:val="30"/>
          <w:szCs w:val="30"/>
          <w:lang w:eastAsia="zh-CN"/>
        </w:rPr>
        <w:t>招标</w:t>
      </w:r>
      <w:r>
        <w:rPr>
          <w:rFonts w:hint="eastAsia" w:ascii="仿宋_GB2312" w:hAnsi="仿宋_GB2312" w:eastAsia="仿宋_GB2312" w:cs="仿宋_GB2312"/>
          <w:b/>
          <w:sz w:val="30"/>
          <w:szCs w:val="30"/>
          <w:lang w:val="en-US" w:eastAsia="zh-CN"/>
        </w:rPr>
        <w:t>标的执行</w:t>
      </w:r>
      <w:r>
        <w:rPr>
          <w:rFonts w:hint="eastAsia" w:ascii="仿宋_GB2312" w:hAnsi="仿宋_GB2312" w:eastAsia="仿宋_GB2312" w:cs="仿宋_GB2312"/>
          <w:b/>
          <w:sz w:val="30"/>
          <w:szCs w:val="30"/>
          <w:lang w:eastAsia="zh-CN"/>
        </w:rPr>
        <w:t>范围：</w:t>
      </w:r>
      <w:r>
        <w:rPr>
          <w:rFonts w:hint="eastAsia" w:ascii="仿宋_GB2312" w:hAnsi="仿宋_GB2312" w:eastAsia="仿宋_GB2312" w:cs="仿宋_GB2312"/>
          <w:b w:val="0"/>
          <w:bCs/>
          <w:sz w:val="30"/>
          <w:szCs w:val="30"/>
          <w:highlight w:val="yellow"/>
          <w:u w:val="single"/>
          <w:lang w:val="en-US" w:eastAsia="zh-CN"/>
        </w:rPr>
        <w:t>2024年4月~2025年6月</w:t>
      </w:r>
    </w:p>
    <w:p>
      <w:pPr>
        <w:spacing w:line="560" w:lineRule="exact"/>
        <w:rPr>
          <w:rFonts w:hint="eastAsia" w:ascii="仿宋_GB2312" w:hAnsi="仿宋_GB2312" w:eastAsia="仿宋_GB2312" w:cs="仿宋_GB2312"/>
          <w:b w:val="0"/>
          <w:bCs/>
          <w:sz w:val="30"/>
          <w:szCs w:val="30"/>
          <w:highlight w:val="yellow"/>
          <w:u w:val="single"/>
          <w:lang w:val="en-US" w:eastAsia="zh-CN"/>
        </w:rPr>
      </w:pPr>
      <w:r>
        <w:rPr>
          <w:rFonts w:hint="eastAsia" w:ascii="仿宋_GB2312" w:eastAsia="仿宋_GB2312"/>
          <w:b/>
          <w:sz w:val="30"/>
          <w:szCs w:val="30"/>
          <w:highlight w:val="yellow"/>
          <w:lang w:val="en-US" w:eastAsia="zh-CN"/>
        </w:rPr>
        <w:t>3.</w:t>
      </w:r>
      <w:r>
        <w:rPr>
          <w:rFonts w:hint="eastAsia" w:ascii="仿宋_GB2312" w:eastAsia="仿宋_GB2312"/>
          <w:b/>
          <w:sz w:val="30"/>
          <w:szCs w:val="30"/>
          <w:highlight w:val="yellow"/>
        </w:rPr>
        <w:t>标的情况介绍：</w:t>
      </w:r>
      <w:r>
        <w:rPr>
          <w:rFonts w:hint="eastAsia" w:eastAsia="仿宋_GB2312"/>
          <w:sz w:val="30"/>
          <w:szCs w:val="30"/>
          <w:highlight w:val="yellow"/>
        </w:rPr>
        <w:t>本次招标共设</w:t>
      </w:r>
      <w:r>
        <w:rPr>
          <w:rFonts w:hint="eastAsia" w:eastAsia="仿宋_GB2312"/>
          <w:sz w:val="30"/>
          <w:szCs w:val="30"/>
          <w:highlight w:val="yellow"/>
          <w:lang w:val="en-US" w:eastAsia="zh-CN"/>
        </w:rPr>
        <w:t>1</w:t>
      </w:r>
      <w:r>
        <w:rPr>
          <w:rFonts w:hint="eastAsia" w:eastAsia="仿宋_GB2312"/>
          <w:sz w:val="30"/>
          <w:szCs w:val="30"/>
          <w:highlight w:val="yellow"/>
        </w:rPr>
        <w:t>个标的，详情见表：</w:t>
      </w:r>
      <w:r>
        <w:rPr>
          <w:rFonts w:hint="eastAsia" w:eastAsia="仿宋_GB2312"/>
          <w:sz w:val="30"/>
          <w:szCs w:val="30"/>
          <w:highlight w:val="yellow"/>
          <w:lang w:eastAsia="zh-CN"/>
        </w:rPr>
        <w:t>（</w:t>
      </w:r>
      <w:r>
        <w:rPr>
          <w:rFonts w:hint="eastAsia" w:eastAsia="仿宋_GB2312"/>
          <w:sz w:val="30"/>
          <w:szCs w:val="30"/>
          <w:highlight w:val="yellow"/>
          <w:lang w:val="en-US" w:eastAsia="zh-CN"/>
        </w:rPr>
        <w:t>根据实际情况调整</w:t>
      </w:r>
      <w:r>
        <w:rPr>
          <w:rFonts w:hint="eastAsia" w:eastAsia="仿宋_GB2312"/>
          <w:sz w:val="30"/>
          <w:szCs w:val="30"/>
          <w:highlight w:val="yellow"/>
          <w:lang w:eastAsia="zh-CN"/>
        </w:rPr>
        <w:t>）</w:t>
      </w:r>
    </w:p>
    <w:tbl>
      <w:tblPr>
        <w:tblStyle w:val="8"/>
        <w:tblW w:w="300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5"/>
        <w:gridCol w:w="4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jc w:val="center"/>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单边距离（KM）</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车厢9.6米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jc w:val="center"/>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100KM以下（含）</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center"/>
              <w:textAlignment w:val="auto"/>
              <w:outlineLvl w:val="9"/>
              <w:rPr>
                <w:rFonts w:hint="default" w:ascii="Times New Roman" w:hAnsi="Times New Roman" w:eastAsia="宋体" w:cs="Times New Roman"/>
                <w:sz w:val="24"/>
                <w:szCs w:val="24"/>
                <w:highlight w:val="yellow"/>
                <w:lang w:val="en-US" w:eastAsia="zh-CN"/>
              </w:rPr>
            </w:pPr>
            <w:r>
              <w:rPr>
                <w:rFonts w:hint="eastAsia" w:ascii="Times New Roman" w:hAnsi="Times New Roman" w:cs="Times New Roman"/>
                <w:sz w:val="24"/>
                <w:szCs w:val="24"/>
                <w:highlight w:val="yellow"/>
                <w:lang w:val="en-US" w:eastAsia="zh-CN"/>
              </w:rPr>
              <w:t>XX</w:t>
            </w:r>
            <w:r>
              <w:rPr>
                <w:rFonts w:hint="default" w:ascii="Times New Roman" w:hAnsi="Times New Roman" w:eastAsia="宋体" w:cs="Times New Roman"/>
                <w:sz w:val="24"/>
                <w:szCs w:val="24"/>
                <w:highlight w:val="yellow"/>
                <w:lang w:val="en-US" w:eastAsia="zh-CN"/>
              </w:rPr>
              <w:t>元/车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jc w:val="center"/>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100KM-250KM（含）</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100KM中标价+超出100KM的距离*10元/KM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jc w:val="center"/>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250KM-500KM（含）</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center"/>
              <w:textAlignment w:val="auto"/>
              <w:outlineLvl w:val="9"/>
              <w:rPr>
                <w:rFonts w:hint="default" w:ascii="Times New Roman" w:hAnsi="Times New Roman" w:eastAsia="宋体" w:cs="Times New Roman"/>
                <w:sz w:val="24"/>
                <w:szCs w:val="24"/>
                <w:highlight w:val="yellow"/>
                <w:lang w:val="en-US" w:eastAsia="zh-CN"/>
              </w:rPr>
            </w:pPr>
            <w:r>
              <w:rPr>
                <w:rFonts w:hint="eastAsia" w:ascii="Times New Roman" w:hAnsi="Times New Roman" w:cs="Times New Roman"/>
                <w:sz w:val="24"/>
                <w:szCs w:val="24"/>
                <w:highlight w:val="yellow"/>
                <w:lang w:val="en-US" w:eastAsia="zh-CN"/>
              </w:rPr>
              <w:t>12.87</w:t>
            </w:r>
            <w:r>
              <w:rPr>
                <w:rFonts w:hint="default" w:ascii="Times New Roman" w:hAnsi="Times New Roman" w:eastAsia="宋体" w:cs="Times New Roman"/>
                <w:sz w:val="24"/>
                <w:szCs w:val="24"/>
                <w:highlight w:val="yellow"/>
                <w:lang w:val="en-US" w:eastAsia="zh-CN"/>
              </w:rPr>
              <w:t>元/公里</w:t>
            </w:r>
          </w:p>
        </w:tc>
      </w:tr>
    </w:tbl>
    <w:p>
      <w:pPr>
        <w:autoSpaceDE/>
        <w:autoSpaceDN/>
        <w:spacing w:before="0" w:line="240" w:lineRule="auto"/>
        <w:ind w:right="0" w:firstLine="0" w:firstLineChars="0"/>
        <w:jc w:val="left"/>
        <w:rPr>
          <w:rFonts w:hint="eastAsia" w:ascii="仿宋_GB2312" w:hAnsi="仿宋_GB2312" w:eastAsia="仿宋_GB2312" w:cs="仿宋_GB2312"/>
          <w:b/>
          <w:sz w:val="30"/>
          <w:szCs w:val="30"/>
          <w:lang w:val="en-US" w:eastAsia="zh-CN"/>
        </w:rPr>
      </w:pPr>
    </w:p>
    <w:p>
      <w:pPr>
        <w:autoSpaceDE/>
        <w:autoSpaceDN/>
        <w:spacing w:before="0" w:line="240" w:lineRule="auto"/>
        <w:ind w:right="0" w:firstLine="0" w:firstLineChars="0"/>
        <w:jc w:val="left"/>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lang w:val="en-US" w:eastAsia="zh-CN"/>
        </w:rPr>
        <w:t>4.</w:t>
      </w:r>
      <w:r>
        <w:rPr>
          <w:rFonts w:hint="eastAsia" w:ascii="仿宋_GB2312" w:hAnsi="仿宋_GB2312" w:eastAsia="仿宋_GB2312" w:cs="仿宋_GB2312"/>
          <w:b/>
          <w:sz w:val="30"/>
          <w:szCs w:val="30"/>
          <w:lang w:eastAsia="zh-CN"/>
        </w:rPr>
        <w:t>招标方式</w:t>
      </w:r>
      <w:r>
        <w:rPr>
          <w:rFonts w:hint="eastAsia" w:ascii="仿宋_GB2312" w:hAnsi="仿宋_GB2312" w:eastAsia="仿宋_GB2312" w:cs="仿宋_GB2312"/>
          <w:b/>
          <w:sz w:val="30"/>
          <w:szCs w:val="30"/>
        </w:rPr>
        <w:t>：</w:t>
      </w:r>
      <w:r>
        <w:rPr>
          <w:rFonts w:hint="eastAsia" w:ascii="仿宋_GB2312" w:hAnsi="仿宋_GB2312" w:eastAsia="仿宋_GB2312" w:cs="仿宋_GB2312"/>
          <w:b/>
          <w:sz w:val="30"/>
          <w:szCs w:val="30"/>
          <w:lang w:val="en-US" w:eastAsia="zh-CN"/>
        </w:rPr>
        <w:t>网上</w:t>
      </w:r>
      <w:r>
        <w:rPr>
          <w:rFonts w:hint="eastAsia" w:ascii="仿宋_GB2312" w:hAnsi="仿宋_GB2312" w:eastAsia="仿宋_GB2312" w:cs="仿宋_GB2312"/>
          <w:sz w:val="30"/>
          <w:szCs w:val="30"/>
        </w:rPr>
        <w:t>公开招标。</w:t>
      </w:r>
    </w:p>
    <w:p>
      <w:pPr>
        <w:spacing w:line="240" w:lineRule="auto"/>
        <w:ind w:left="0"/>
        <w:rPr>
          <w:rFonts w:hint="eastAsia"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val="en-US" w:eastAsia="zh-CN"/>
        </w:rPr>
        <w:t>5.</w:t>
      </w:r>
      <w:r>
        <w:rPr>
          <w:rFonts w:hint="eastAsia" w:ascii="仿宋_GB2312" w:hAnsi="仿宋_GB2312" w:eastAsia="仿宋_GB2312" w:cs="仿宋_GB2312"/>
          <w:b/>
          <w:sz w:val="30"/>
          <w:szCs w:val="30"/>
          <w:lang w:eastAsia="zh-CN"/>
        </w:rPr>
        <w:t>参标流程：</w:t>
      </w:r>
    </w:p>
    <w:p>
      <w:pPr>
        <w:pStyle w:val="10"/>
        <w:keepNext w:val="0"/>
        <w:keepLines w:val="0"/>
        <w:pageBreakBefore w:val="0"/>
        <w:widowControl w:val="0"/>
        <w:numPr>
          <w:ilvl w:val="0"/>
          <w:numId w:val="0"/>
        </w:numPr>
        <w:tabs>
          <w:tab w:val="left" w:pos="1570"/>
        </w:tabs>
        <w:kinsoku/>
        <w:wordWrap/>
        <w:overflowPunct/>
        <w:topLinePunct w:val="0"/>
        <w:autoSpaceDE w:val="0"/>
        <w:autoSpaceDN w:val="0"/>
        <w:bidi w:val="0"/>
        <w:adjustRightInd/>
        <w:snapToGrid/>
        <w:spacing w:before="0" w:after="0" w:line="240" w:lineRule="auto"/>
        <w:ind w:left="0" w:right="0" w:rightChars="0" w:firstLine="288" w:firstLineChars="100"/>
        <w:jc w:val="left"/>
        <w:textAlignment w:val="auto"/>
        <w:rPr>
          <w:rFonts w:hint="eastAsia" w:ascii="仿宋_GB2312" w:hAnsi="仿宋_GB2312" w:eastAsia="仿宋_GB2312" w:cs="仿宋_GB2312"/>
          <w:spacing w:val="-6"/>
          <w:sz w:val="30"/>
          <w:szCs w:val="30"/>
          <w:lang w:val="en-US" w:eastAsia="zh-CN"/>
        </w:rPr>
      </w:pP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lang w:val="en-US" w:eastAsia="zh-CN"/>
        </w:rPr>
        <w:t>1</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lang w:val="en-US" w:eastAsia="zh-CN"/>
        </w:rPr>
        <w:t>意向参与投标的单位，请提供以下资料：投标报名表及投标承诺书、专用车辆登记证书复印件、行驶证，投标方要求为运输公司，递交营业执照复印件（加盖公章），法定代表人身份证复印件，</w:t>
      </w:r>
      <w:r>
        <w:rPr>
          <w:rFonts w:hint="eastAsia" w:ascii="仿宋_GB2312" w:hAnsi="仿宋_GB2312" w:eastAsia="仿宋_GB2312" w:cs="仿宋_GB2312"/>
          <w:spacing w:val="-6"/>
          <w:sz w:val="30"/>
          <w:szCs w:val="30"/>
          <w:lang w:eastAsia="zh-CN"/>
        </w:rPr>
        <w:t>银行开户许可证并签字、道路运输经营许可证（加盖公章）、投标人认为应补充的其他材料。将资料报送至</w:t>
      </w:r>
      <w:r>
        <w:rPr>
          <w:rFonts w:hint="eastAsia" w:ascii="仿宋_GB2312" w:hAnsi="仿宋_GB2312" w:eastAsia="仿宋_GB2312" w:cs="仿宋_GB2312"/>
          <w:spacing w:val="-6"/>
          <w:sz w:val="30"/>
          <w:szCs w:val="30"/>
          <w:highlight w:val="yellow"/>
          <w:u w:val="single"/>
          <w:lang w:val="en-US" w:eastAsia="zh-CN"/>
        </w:rPr>
        <w:t xml:space="preserve"> 高海丽 </w:t>
      </w:r>
      <w:r>
        <w:rPr>
          <w:rFonts w:hint="eastAsia" w:ascii="仿宋_GB2312" w:hAnsi="仿宋_GB2312" w:eastAsia="仿宋_GB2312" w:cs="仿宋_GB2312"/>
          <w:spacing w:val="-6"/>
          <w:sz w:val="30"/>
          <w:szCs w:val="30"/>
          <w:lang w:eastAsia="zh-CN"/>
        </w:rPr>
        <w:t>处（</w:t>
      </w:r>
      <w:r>
        <w:rPr>
          <w:rFonts w:hint="eastAsia" w:ascii="仿宋_GB2312" w:hAnsi="仿宋_GB2312" w:eastAsia="仿宋_GB2312" w:cs="仿宋_GB2312"/>
          <w:spacing w:val="-6"/>
          <w:sz w:val="30"/>
          <w:szCs w:val="30"/>
          <w:lang w:val="en-US" w:eastAsia="zh-CN"/>
        </w:rPr>
        <w:t>邮箱</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highlight w:val="yellow"/>
          <w:u w:val="single"/>
          <w:lang w:val="en-US" w:eastAsia="zh-CN"/>
        </w:rPr>
        <w:t>1341628192@qq.com</w:t>
      </w:r>
      <w:r>
        <w:rPr>
          <w:rFonts w:hint="eastAsia" w:ascii="仿宋_GB2312" w:hAnsi="仿宋_GB2312" w:eastAsia="仿宋_GB2312" w:cs="仿宋_GB2312"/>
          <w:spacing w:val="-6"/>
          <w:sz w:val="30"/>
          <w:szCs w:val="30"/>
          <w:lang w:eastAsia="zh-CN"/>
        </w:rPr>
        <w:t>）进行报名。</w:t>
      </w:r>
    </w:p>
    <w:p>
      <w:pPr>
        <w:pStyle w:val="10"/>
        <w:keepNext w:val="0"/>
        <w:keepLines w:val="0"/>
        <w:pageBreakBefore w:val="0"/>
        <w:widowControl w:val="0"/>
        <w:numPr>
          <w:ilvl w:val="0"/>
          <w:numId w:val="0"/>
        </w:numPr>
        <w:tabs>
          <w:tab w:val="left" w:pos="1570"/>
        </w:tabs>
        <w:kinsoku/>
        <w:wordWrap/>
        <w:overflowPunct/>
        <w:topLinePunct w:val="0"/>
        <w:autoSpaceDE w:val="0"/>
        <w:autoSpaceDN w:val="0"/>
        <w:bidi w:val="0"/>
        <w:adjustRightInd/>
        <w:snapToGrid/>
        <w:spacing w:before="0" w:after="0" w:line="240" w:lineRule="auto"/>
        <w:ind w:left="0" w:right="0" w:rightChars="0" w:firstLine="288" w:firstLineChars="100"/>
        <w:jc w:val="left"/>
        <w:textAlignment w:val="auto"/>
        <w:rPr>
          <w:rFonts w:hint="eastAsia" w:ascii="仿宋_GB2312" w:hAnsi="仿宋_GB2312" w:eastAsia="仿宋_GB2312" w:cs="仿宋_GB2312"/>
          <w:spacing w:val="-6"/>
          <w:sz w:val="30"/>
          <w:szCs w:val="30"/>
          <w:lang w:val="en-US" w:eastAsia="zh-CN"/>
        </w:rPr>
      </w:pP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lang w:val="en-US" w:eastAsia="zh-CN"/>
        </w:rPr>
        <w:t>2</w:t>
      </w:r>
      <w:r>
        <w:rPr>
          <w:rFonts w:hint="eastAsia" w:ascii="仿宋_GB2312" w:hAnsi="仿宋_GB2312" w:eastAsia="仿宋_GB2312" w:cs="仿宋_GB2312"/>
          <w:spacing w:val="-6"/>
          <w:sz w:val="30"/>
          <w:szCs w:val="30"/>
          <w:lang w:eastAsia="zh-CN"/>
        </w:rPr>
        <w:t>）</w:t>
      </w:r>
      <w:r>
        <w:rPr>
          <w:rFonts w:hint="eastAsia" w:ascii="仿宋_GB2312" w:hAnsi="仿宋_GB2312" w:eastAsia="仿宋_GB2312" w:cs="仿宋_GB2312"/>
          <w:spacing w:val="-6"/>
          <w:sz w:val="30"/>
          <w:szCs w:val="30"/>
          <w:highlight w:val="yellow"/>
          <w:u w:val="single"/>
          <w:lang w:val="en-US" w:eastAsia="zh-CN"/>
        </w:rPr>
        <w:t xml:space="preserve">  云南公司 </w:t>
      </w:r>
      <w:r>
        <w:rPr>
          <w:rFonts w:hint="eastAsia" w:ascii="仿宋_GB2312" w:hAnsi="仿宋_GB2312" w:eastAsia="仿宋_GB2312" w:cs="仿宋_GB2312"/>
          <w:spacing w:val="-6"/>
          <w:sz w:val="30"/>
          <w:szCs w:val="30"/>
          <w:highlight w:val="yellow"/>
          <w:lang w:val="en-US" w:eastAsia="zh-CN"/>
        </w:rPr>
        <w:t>运输小组</w:t>
      </w:r>
      <w:r>
        <w:rPr>
          <w:rFonts w:hint="eastAsia" w:ascii="仿宋_GB2312" w:hAnsi="仿宋_GB2312" w:eastAsia="仿宋_GB2312" w:cs="仿宋_GB2312"/>
          <w:spacing w:val="-6"/>
          <w:sz w:val="30"/>
          <w:szCs w:val="30"/>
          <w:lang w:val="en-US" w:eastAsia="zh-CN"/>
        </w:rPr>
        <w:t>对报名参与招标单位的资质进行评审。通过资质评审、复合投标的单位在规定时间内缴纳投标保证金，同时完成网上投标系统</w:t>
      </w:r>
      <w:r>
        <w:rPr>
          <w:rFonts w:hint="eastAsia" w:ascii="仿宋_GB2312" w:hAnsi="仿宋_GB2312" w:eastAsia="仿宋_GB2312" w:cs="仿宋_GB2312"/>
          <w:spacing w:val="-6"/>
          <w:sz w:val="30"/>
          <w:szCs w:val="30"/>
          <w:lang w:eastAsia="zh-CN"/>
        </w:rPr>
        <w:t>（https://bid.wens.com.cn）注册。</w:t>
      </w:r>
    </w:p>
    <w:p>
      <w:pPr>
        <w:pStyle w:val="10"/>
        <w:keepNext w:val="0"/>
        <w:keepLines w:val="0"/>
        <w:pageBreakBefore w:val="0"/>
        <w:widowControl w:val="0"/>
        <w:numPr>
          <w:ilvl w:val="0"/>
          <w:numId w:val="1"/>
        </w:numPr>
        <w:tabs>
          <w:tab w:val="left" w:pos="1570"/>
        </w:tabs>
        <w:kinsoku/>
        <w:wordWrap/>
        <w:overflowPunct/>
        <w:topLinePunct w:val="0"/>
        <w:autoSpaceDE w:val="0"/>
        <w:autoSpaceDN w:val="0"/>
        <w:bidi w:val="0"/>
        <w:adjustRightInd/>
        <w:snapToGrid/>
        <w:spacing w:before="0" w:after="0" w:line="240" w:lineRule="auto"/>
        <w:ind w:left="0" w:right="0" w:rightChars="0" w:firstLine="300" w:firstLineChars="1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highlight w:val="yellow"/>
          <w:u w:val="single"/>
          <w:lang w:val="en-US" w:eastAsia="zh-CN"/>
        </w:rPr>
        <w:t xml:space="preserve">   云南公司</w:t>
      </w:r>
      <w:r>
        <w:rPr>
          <w:rFonts w:hint="eastAsia" w:ascii="仿宋_GB2312" w:hAnsi="仿宋_GB2312" w:eastAsia="仿宋_GB2312" w:cs="仿宋_GB2312"/>
          <w:sz w:val="30"/>
          <w:szCs w:val="30"/>
          <w:highlight w:val="yellow"/>
          <w:lang w:val="en-US" w:eastAsia="zh-CN"/>
        </w:rPr>
        <w:t xml:space="preserve"> 运输小组</w:t>
      </w:r>
      <w:r>
        <w:rPr>
          <w:rFonts w:hint="eastAsia" w:ascii="仿宋_GB2312" w:hAnsi="仿宋_GB2312" w:eastAsia="仿宋_GB2312" w:cs="仿宋_GB2312"/>
          <w:sz w:val="30"/>
          <w:szCs w:val="30"/>
          <w:lang w:val="en-US" w:eastAsia="zh-CN"/>
        </w:rPr>
        <w:t>对审核合格的单位发放网上标书允许投标，投标单位在接收到邀标信息后，在规定时间内进入温氏股份网上招标系统填报价格和填写</w:t>
      </w:r>
      <w:r>
        <w:rPr>
          <w:rFonts w:hint="eastAsia" w:ascii="仿宋_GB2312" w:hAnsi="仿宋_GB2312" w:eastAsia="仿宋_GB2312" w:cs="仿宋_GB2312"/>
          <w:sz w:val="30"/>
          <w:szCs w:val="30"/>
          <w:lang w:eastAsia="zh-CN"/>
        </w:rPr>
        <w:t>《投标承诺书》，签名盖章（手指模）后扫描上传完成投标。</w:t>
      </w:r>
    </w:p>
    <w:p>
      <w:pPr>
        <w:spacing w:line="240" w:lineRule="auto"/>
        <w:ind w:left="0"/>
        <w:rPr>
          <w:rFonts w:hint="eastAsia" w:ascii="仿宋_GB2312" w:hAnsi="仿宋_GB2312" w:eastAsia="仿宋_GB2312" w:cs="仿宋_GB2312"/>
          <w:b/>
          <w:sz w:val="30"/>
          <w:szCs w:val="30"/>
          <w:lang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b/>
          <w:sz w:val="30"/>
          <w:szCs w:val="30"/>
          <w:lang w:val="en-US" w:eastAsia="zh-CN"/>
        </w:rPr>
        <w:t>、保证金缴纳</w:t>
      </w:r>
      <w:r>
        <w:rPr>
          <w:rFonts w:hint="eastAsia" w:ascii="仿宋_GB2312" w:hAnsi="仿宋_GB2312" w:eastAsia="仿宋_GB2312" w:cs="仿宋_GB2312"/>
          <w:b/>
          <w:sz w:val="30"/>
          <w:szCs w:val="30"/>
          <w:lang w:eastAsia="zh-CN"/>
        </w:rPr>
        <w:t>：</w:t>
      </w:r>
    </w:p>
    <w:p>
      <w:pPr>
        <w:pStyle w:val="10"/>
        <w:keepNext w:val="0"/>
        <w:keepLines w:val="0"/>
        <w:pageBreakBefore w:val="0"/>
        <w:widowControl w:val="0"/>
        <w:numPr>
          <w:ilvl w:val="0"/>
          <w:numId w:val="0"/>
        </w:numPr>
        <w:tabs>
          <w:tab w:val="left" w:pos="1570"/>
        </w:tabs>
        <w:kinsoku/>
        <w:wordWrap/>
        <w:overflowPunct/>
        <w:topLinePunct w:val="0"/>
        <w:autoSpaceDE w:val="0"/>
        <w:autoSpaceDN w:val="0"/>
        <w:bidi w:val="0"/>
        <w:adjustRightInd/>
        <w:snapToGrid/>
        <w:spacing w:before="1" w:after="0" w:line="240" w:lineRule="auto"/>
        <w:ind w:left="0" w:right="506" w:rightChars="0" w:firstLine="600" w:firstLineChars="200"/>
        <w:jc w:val="both"/>
        <w:textAlignment w:val="auto"/>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通过资质评审的投标人在收到我司回复函后，按照回复函要求于</w:t>
      </w:r>
      <w:r>
        <w:rPr>
          <w:rFonts w:hint="eastAsia" w:ascii="仿宋_GB2312" w:hAnsi="仿宋_GB2312" w:eastAsia="仿宋_GB2312" w:cs="仿宋_GB2312"/>
          <w:b w:val="0"/>
          <w:bCs/>
          <w:sz w:val="30"/>
          <w:szCs w:val="30"/>
          <w:highlight w:val="yellow"/>
          <w:u w:val="single"/>
          <w:lang w:val="en-US" w:eastAsia="zh-CN"/>
        </w:rPr>
        <w:t>2024</w:t>
      </w:r>
      <w:r>
        <w:rPr>
          <w:rFonts w:hint="eastAsia" w:ascii="仿宋_GB2312" w:hAnsi="仿宋_GB2312" w:eastAsia="仿宋_GB2312" w:cs="仿宋_GB2312"/>
          <w:b w:val="0"/>
          <w:bCs/>
          <w:sz w:val="30"/>
          <w:szCs w:val="30"/>
          <w:highlight w:val="yellow"/>
          <w:lang w:val="en-US" w:eastAsia="zh-CN"/>
        </w:rPr>
        <w:t>年</w:t>
      </w:r>
      <w:r>
        <w:rPr>
          <w:rFonts w:hint="eastAsia" w:ascii="仿宋_GB2312" w:hAnsi="仿宋_GB2312" w:eastAsia="仿宋_GB2312" w:cs="仿宋_GB2312"/>
          <w:b w:val="0"/>
          <w:bCs/>
          <w:sz w:val="30"/>
          <w:szCs w:val="30"/>
          <w:highlight w:val="yellow"/>
          <w:u w:val="single"/>
          <w:lang w:val="en-US" w:eastAsia="zh-CN"/>
        </w:rPr>
        <w:t>3</w:t>
      </w:r>
      <w:r>
        <w:rPr>
          <w:rFonts w:hint="eastAsia" w:ascii="仿宋_GB2312" w:hAnsi="仿宋_GB2312" w:eastAsia="仿宋_GB2312" w:cs="仿宋_GB2312"/>
          <w:b w:val="0"/>
          <w:bCs/>
          <w:sz w:val="30"/>
          <w:szCs w:val="30"/>
          <w:highlight w:val="yellow"/>
          <w:lang w:val="en-US" w:eastAsia="zh-CN"/>
        </w:rPr>
        <w:t>月</w:t>
      </w:r>
      <w:r>
        <w:rPr>
          <w:rFonts w:hint="eastAsia" w:ascii="仿宋_GB2312" w:hAnsi="仿宋_GB2312" w:eastAsia="仿宋_GB2312" w:cs="仿宋_GB2312"/>
          <w:b w:val="0"/>
          <w:bCs/>
          <w:sz w:val="30"/>
          <w:szCs w:val="30"/>
          <w:highlight w:val="yellow"/>
          <w:u w:val="single"/>
          <w:lang w:val="en-US" w:eastAsia="zh-CN"/>
        </w:rPr>
        <w:t>21</w:t>
      </w:r>
      <w:r>
        <w:rPr>
          <w:rFonts w:hint="eastAsia" w:ascii="仿宋_GB2312" w:hAnsi="仿宋_GB2312" w:eastAsia="仿宋_GB2312" w:cs="仿宋_GB2312"/>
          <w:b w:val="0"/>
          <w:bCs/>
          <w:sz w:val="30"/>
          <w:szCs w:val="30"/>
          <w:highlight w:val="yellow"/>
          <w:lang w:val="en-US" w:eastAsia="zh-CN"/>
        </w:rPr>
        <w:t>日</w:t>
      </w:r>
      <w:r>
        <w:rPr>
          <w:rFonts w:hint="eastAsia" w:ascii="仿宋_GB2312" w:hAnsi="仿宋_GB2312" w:eastAsia="仿宋_GB2312" w:cs="仿宋_GB2312"/>
          <w:b w:val="0"/>
          <w:bCs/>
          <w:sz w:val="30"/>
          <w:szCs w:val="30"/>
          <w:highlight w:val="yellow"/>
          <w:u w:val="single"/>
          <w:lang w:val="en-US" w:eastAsia="zh-CN"/>
        </w:rPr>
        <w:t>18:00</w:t>
      </w:r>
      <w:r>
        <w:rPr>
          <w:rFonts w:hint="eastAsia" w:ascii="仿宋_GB2312" w:hAnsi="仿宋_GB2312" w:eastAsia="仿宋_GB2312" w:cs="仿宋_GB2312"/>
          <w:b w:val="0"/>
          <w:bCs/>
          <w:sz w:val="30"/>
          <w:szCs w:val="30"/>
          <w:lang w:val="en-US" w:eastAsia="zh-CN"/>
        </w:rPr>
        <w:t>前将本次招标报名保证金</w:t>
      </w:r>
      <w:r>
        <w:rPr>
          <w:rFonts w:hint="eastAsia" w:ascii="仿宋_GB2312" w:hAnsi="仿宋_GB2312" w:eastAsia="仿宋_GB2312" w:cs="仿宋_GB2312"/>
          <w:b w:val="0"/>
          <w:bCs/>
          <w:sz w:val="30"/>
          <w:szCs w:val="30"/>
          <w:highlight w:val="yellow"/>
          <w:u w:val="single"/>
          <w:lang w:val="en-US" w:eastAsia="zh-CN"/>
        </w:rPr>
        <w:t xml:space="preserve">  5  </w:t>
      </w:r>
      <w:r>
        <w:rPr>
          <w:rFonts w:hint="eastAsia" w:ascii="仿宋_GB2312" w:hAnsi="仿宋_GB2312" w:eastAsia="仿宋_GB2312" w:cs="仿宋_GB2312"/>
          <w:b w:val="0"/>
          <w:bCs/>
          <w:sz w:val="30"/>
          <w:szCs w:val="30"/>
          <w:highlight w:val="yellow"/>
          <w:lang w:val="en-US" w:eastAsia="zh-CN"/>
        </w:rPr>
        <w:t>万元</w:t>
      </w:r>
      <w:r>
        <w:rPr>
          <w:rFonts w:hint="eastAsia" w:ascii="仿宋_GB2312" w:hAnsi="仿宋_GB2312" w:eastAsia="仿宋_GB2312" w:cs="仿宋_GB2312"/>
          <w:b w:val="0"/>
          <w:bCs/>
          <w:sz w:val="30"/>
          <w:szCs w:val="30"/>
          <w:lang w:val="en-US" w:eastAsia="zh-CN"/>
        </w:rPr>
        <w:t>汇款至以下账号，保证金缴纳以转账形式提交，以招标人收到时间为准。</w:t>
      </w:r>
      <w:r>
        <w:rPr>
          <w:rFonts w:hint="eastAsia" w:ascii="仿宋_GB2312" w:hAnsi="仿宋_GB2312" w:eastAsia="仿宋_GB2312" w:cs="仿宋_GB2312"/>
          <w:b/>
          <w:bCs w:val="0"/>
          <w:sz w:val="30"/>
          <w:szCs w:val="30"/>
          <w:lang w:val="en-US" w:eastAsia="zh-CN"/>
        </w:rPr>
        <w:t>汇款方名称须与投标方名称一致</w:t>
      </w:r>
      <w:r>
        <w:rPr>
          <w:rFonts w:hint="eastAsia" w:ascii="仿宋_GB2312" w:hAnsi="仿宋_GB2312" w:eastAsia="仿宋_GB2312" w:cs="仿宋_GB2312"/>
          <w:b w:val="0"/>
          <w:bCs/>
          <w:sz w:val="30"/>
          <w:szCs w:val="30"/>
          <w:lang w:val="en-US" w:eastAsia="zh-CN"/>
        </w:rPr>
        <w:t>。汇款请在用途处注明：投标保证金，过时未汇款的视为放弃投标：</w:t>
      </w:r>
    </w:p>
    <w:p>
      <w:pPr>
        <w:pStyle w:val="6"/>
        <w:keepNext w:val="0"/>
        <w:keepLines w:val="0"/>
        <w:pageBreakBefore w:val="0"/>
        <w:kinsoku/>
        <w:wordWrap/>
        <w:overflowPunct/>
        <w:topLinePunct w:val="0"/>
        <w:autoSpaceDE/>
        <w:autoSpaceDN/>
        <w:bidi w:val="0"/>
        <w:adjustRightInd/>
        <w:snapToGrid/>
        <w:spacing w:line="240" w:lineRule="auto"/>
        <w:ind w:left="0"/>
        <w:textAlignment w:val="auto"/>
        <w:rPr>
          <w:rFonts w:hint="eastAsia" w:ascii="仿宋_GB2312" w:hAnsi="仿宋_GB2312" w:eastAsia="仿宋_GB2312" w:cs="仿宋_GB2312"/>
          <w:i w:val="0"/>
          <w:iCs w:val="0"/>
          <w:caps w:val="0"/>
          <w:color w:val="333333"/>
          <w:spacing w:val="0"/>
          <w:sz w:val="30"/>
          <w:szCs w:val="30"/>
          <w:u w:val="single"/>
          <w:lang w:val="en-US" w:eastAsia="zh-CN"/>
        </w:rPr>
      </w:pPr>
      <w:r>
        <w:rPr>
          <w:rFonts w:hint="eastAsia" w:ascii="仿宋_GB2312" w:hAnsi="仿宋_GB2312" w:eastAsia="仿宋_GB2312" w:cs="仿宋_GB2312"/>
          <w:i w:val="0"/>
          <w:iCs w:val="0"/>
          <w:caps w:val="0"/>
          <w:color w:val="333333"/>
          <w:spacing w:val="0"/>
          <w:sz w:val="30"/>
          <w:szCs w:val="30"/>
        </w:rPr>
        <w:t>公司名称：</w:t>
      </w:r>
      <w:r>
        <w:rPr>
          <w:rFonts w:hint="eastAsia" w:ascii="仿宋_GB2312" w:hAnsi="仿宋_GB2312" w:eastAsia="仿宋_GB2312" w:cs="仿宋_GB2312"/>
          <w:sz w:val="30"/>
          <w:szCs w:val="30"/>
          <w:highlight w:val="yellow"/>
          <w:u w:val="single"/>
          <w:lang w:val="en-US" w:eastAsia="zh-CN"/>
        </w:rPr>
        <w:t>曲靖市沾益区温氏畜牧有限公司</w:t>
      </w:r>
    </w:p>
    <w:p>
      <w:pPr>
        <w:pStyle w:val="6"/>
        <w:keepNext w:val="0"/>
        <w:keepLines w:val="0"/>
        <w:pageBreakBefore w:val="0"/>
        <w:kinsoku/>
        <w:wordWrap/>
        <w:overflowPunct/>
        <w:topLinePunct w:val="0"/>
        <w:autoSpaceDE/>
        <w:autoSpaceDN/>
        <w:bidi w:val="0"/>
        <w:adjustRightInd/>
        <w:snapToGrid/>
        <w:spacing w:before="0" w:line="240" w:lineRule="auto"/>
        <w:ind w:left="0" w:right="0"/>
        <w:textAlignment w:val="auto"/>
        <w:rPr>
          <w:rFonts w:hint="eastAsia" w:ascii="仿宋_GB2312" w:hAnsi="仿宋_GB2312" w:eastAsia="仿宋_GB2312" w:cs="仿宋_GB2312"/>
          <w:i w:val="0"/>
          <w:iCs w:val="0"/>
          <w:caps w:val="0"/>
          <w:color w:val="333333"/>
          <w:spacing w:val="0"/>
          <w:sz w:val="30"/>
          <w:szCs w:val="30"/>
          <w:highlight w:val="yellow"/>
          <w:u w:val="single"/>
          <w:lang w:val="en-US" w:eastAsia="zh-CN"/>
        </w:rPr>
      </w:pPr>
      <w:r>
        <w:rPr>
          <w:rFonts w:hint="eastAsia" w:ascii="仿宋_GB2312" w:hAnsi="仿宋_GB2312" w:eastAsia="仿宋_GB2312" w:cs="仿宋_GB2312"/>
          <w:sz w:val="30"/>
          <w:szCs w:val="30"/>
          <w:lang w:val="en-US" w:eastAsia="zh-CN"/>
        </w:rPr>
        <w:t>统一社会信用代码:</w:t>
      </w:r>
      <w:r>
        <w:rPr>
          <w:rFonts w:hint="eastAsia" w:ascii="仿宋_GB2312" w:hAnsi="仿宋_GB2312" w:eastAsia="仿宋_GB2312" w:cs="仿宋_GB2312"/>
          <w:sz w:val="30"/>
          <w:szCs w:val="30"/>
          <w:highlight w:val="yellow"/>
          <w:u w:val="single"/>
          <w:lang w:val="en-US" w:eastAsia="zh-CN"/>
        </w:rPr>
        <w:t>91530328MA6K5RA94N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仿宋_GB2312" w:hAnsi="仿宋_GB2312" w:eastAsia="仿宋_GB2312" w:cs="仿宋_GB2312"/>
          <w:i w:val="0"/>
          <w:iCs w:val="0"/>
          <w:caps w:val="0"/>
          <w:color w:val="333333"/>
          <w:spacing w:val="0"/>
          <w:sz w:val="30"/>
          <w:szCs w:val="30"/>
          <w:highlight w:val="yellow"/>
          <w:u w:val="single"/>
          <w:lang w:val="en-US" w:eastAsia="zh-CN"/>
        </w:rPr>
      </w:pPr>
      <w:r>
        <w:rPr>
          <w:rFonts w:hint="eastAsia" w:ascii="仿宋_GB2312" w:hAnsi="仿宋_GB2312" w:eastAsia="仿宋_GB2312" w:cs="仿宋_GB2312"/>
          <w:i w:val="0"/>
          <w:iCs w:val="0"/>
          <w:caps w:val="0"/>
          <w:color w:val="333333"/>
          <w:spacing w:val="0"/>
          <w:sz w:val="30"/>
          <w:szCs w:val="30"/>
        </w:rPr>
        <w:t>开户行：</w:t>
      </w:r>
      <w:r>
        <w:rPr>
          <w:rFonts w:hint="eastAsia" w:ascii="仿宋_GB2312" w:hAnsi="仿宋_GB2312" w:eastAsia="仿宋_GB2312" w:cs="仿宋_GB2312"/>
          <w:kern w:val="2"/>
          <w:sz w:val="30"/>
          <w:szCs w:val="30"/>
          <w:highlight w:val="yellow"/>
          <w:u w:val="single"/>
          <w:lang w:val="en-US" w:eastAsia="zh-CN" w:bidi="ar-SA"/>
        </w:rPr>
        <w:t>中国农业银行广东省云浮市新兴县支行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仿宋_GB2312" w:hAnsi="仿宋_GB2312" w:eastAsia="仿宋_GB2312" w:cs="仿宋_GB2312"/>
          <w:i w:val="0"/>
          <w:iCs w:val="0"/>
          <w:caps w:val="0"/>
          <w:color w:val="333333"/>
          <w:spacing w:val="0"/>
          <w:sz w:val="30"/>
          <w:szCs w:val="30"/>
          <w:highlight w:val="yellow"/>
          <w:u w:val="single"/>
          <w:lang w:val="en-US" w:eastAsia="zh-CN"/>
        </w:rPr>
      </w:pPr>
      <w:r>
        <w:rPr>
          <w:rFonts w:hint="eastAsia" w:ascii="仿宋_GB2312" w:hAnsi="仿宋_GB2312" w:eastAsia="仿宋_GB2312" w:cs="仿宋_GB2312"/>
          <w:i w:val="0"/>
          <w:iCs w:val="0"/>
          <w:caps w:val="0"/>
          <w:color w:val="333333"/>
          <w:spacing w:val="0"/>
          <w:sz w:val="30"/>
          <w:szCs w:val="30"/>
          <w:lang w:val="en-US" w:eastAsia="zh-CN"/>
        </w:rPr>
        <w:t>银行账户</w:t>
      </w:r>
      <w:r>
        <w:rPr>
          <w:rFonts w:hint="eastAsia" w:ascii="仿宋_GB2312" w:hAnsi="仿宋_GB2312" w:eastAsia="仿宋_GB2312" w:cs="仿宋_GB2312"/>
          <w:i w:val="0"/>
          <w:iCs w:val="0"/>
          <w:caps w:val="0"/>
          <w:color w:val="333333"/>
          <w:spacing w:val="0"/>
          <w:sz w:val="30"/>
          <w:szCs w:val="30"/>
        </w:rPr>
        <w:t>：</w:t>
      </w:r>
      <w:r>
        <w:rPr>
          <w:rFonts w:hint="eastAsia" w:ascii="仿宋_GB2312" w:hAnsi="仿宋_GB2312" w:eastAsia="仿宋_GB2312" w:cs="仿宋_GB2312"/>
          <w:kern w:val="2"/>
          <w:sz w:val="30"/>
          <w:szCs w:val="30"/>
          <w:highlight w:val="yellow"/>
          <w:u w:val="single"/>
          <w:lang w:val="en-US" w:eastAsia="zh-CN" w:bidi="ar-SA"/>
        </w:rPr>
        <w:t>44666101040012701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仿宋_GB2312" w:hAnsi="仿宋_GB2312" w:eastAsia="仿宋_GB2312" w:cs="仿宋_GB2312"/>
          <w:i w:val="0"/>
          <w:iCs w:val="0"/>
          <w:caps w:val="0"/>
          <w:color w:val="333333"/>
          <w:spacing w:val="0"/>
          <w:sz w:val="30"/>
          <w:szCs w:val="30"/>
          <w:u w:val="single"/>
          <w:lang w:eastAsia="zh-CN"/>
        </w:rPr>
      </w:pPr>
      <w:r>
        <w:rPr>
          <w:rFonts w:hint="eastAsia" w:ascii="仿宋_GB2312" w:hAnsi="仿宋_GB2312" w:eastAsia="仿宋_GB2312" w:cs="仿宋_GB2312"/>
          <w:i w:val="0"/>
          <w:iCs w:val="0"/>
          <w:caps w:val="0"/>
          <w:color w:val="333333"/>
          <w:spacing w:val="0"/>
          <w:sz w:val="30"/>
          <w:szCs w:val="30"/>
        </w:rPr>
        <w:t>电话：</w:t>
      </w:r>
      <w:r>
        <w:rPr>
          <w:rFonts w:hint="eastAsia" w:ascii="仿宋_GB2312" w:hAnsi="仿宋_GB2312" w:eastAsia="仿宋_GB2312" w:cs="仿宋_GB2312"/>
          <w:i w:val="0"/>
          <w:iCs w:val="0"/>
          <w:caps w:val="0"/>
          <w:color w:val="333333"/>
          <w:spacing w:val="0"/>
          <w:sz w:val="30"/>
          <w:szCs w:val="30"/>
          <w:highlight w:val="yellow"/>
          <w:u w:val="single"/>
          <w:lang w:val="en-US" w:eastAsia="zh-CN"/>
        </w:rPr>
        <w:t>15087496147</w:t>
      </w:r>
      <w:r>
        <w:rPr>
          <w:rFonts w:hint="eastAsia" w:ascii="仿宋_GB2312" w:hAnsi="仿宋_GB2312" w:eastAsia="仿宋_GB2312" w:cs="仿宋_GB2312"/>
          <w:i w:val="0"/>
          <w:iCs w:val="0"/>
          <w:caps w:val="0"/>
          <w:color w:val="333333"/>
          <w:spacing w:val="0"/>
          <w:sz w:val="30"/>
          <w:szCs w:val="30"/>
          <w:highlight w:val="yellow"/>
          <w:u w:val="single"/>
        </w:rPr>
        <w:t>（仅为财务咨询</w:t>
      </w:r>
      <w:r>
        <w:rPr>
          <w:rFonts w:hint="eastAsia" w:ascii="仿宋_GB2312" w:hAnsi="仿宋_GB2312" w:eastAsia="仿宋_GB2312" w:cs="仿宋_GB2312"/>
          <w:i w:val="0"/>
          <w:iCs w:val="0"/>
          <w:caps w:val="0"/>
          <w:color w:val="333333"/>
          <w:spacing w:val="0"/>
          <w:sz w:val="30"/>
          <w:szCs w:val="30"/>
          <w:highlight w:val="yellow"/>
          <w:u w:val="singl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0"/>
        <w:textAlignment w:val="auto"/>
        <w:rPr>
          <w:rFonts w:hint="eastAsia" w:ascii="宋体" w:hAnsi="宋体" w:eastAsia="宋体" w:cs="宋体"/>
          <w:kern w:val="2"/>
          <w:sz w:val="32"/>
          <w:szCs w:val="32"/>
          <w:highlight w:val="yellow"/>
          <w:u w:val="single"/>
          <w:lang w:val="en-US" w:eastAsia="zh-CN" w:bidi="ar-SA"/>
        </w:rPr>
      </w:pPr>
      <w:r>
        <w:rPr>
          <w:rFonts w:hint="eastAsia" w:ascii="仿宋_GB2312" w:hAnsi="仿宋_GB2312" w:eastAsia="仿宋_GB2312" w:cs="仿宋_GB2312"/>
          <w:i w:val="0"/>
          <w:iCs w:val="0"/>
          <w:caps w:val="0"/>
          <w:color w:val="333333"/>
          <w:spacing w:val="0"/>
          <w:sz w:val="30"/>
          <w:szCs w:val="30"/>
        </w:rPr>
        <w:t>地址：</w:t>
      </w:r>
      <w:r>
        <w:rPr>
          <w:rFonts w:hint="eastAsia" w:ascii="仿宋_GB2312" w:hAnsi="仿宋_GB2312" w:eastAsia="仿宋_GB2312" w:cs="仿宋_GB2312"/>
          <w:kern w:val="2"/>
          <w:sz w:val="30"/>
          <w:szCs w:val="30"/>
          <w:highlight w:val="yellow"/>
          <w:u w:val="single"/>
          <w:lang w:val="en-US" w:eastAsia="zh-CN" w:bidi="ar-SA"/>
        </w:rPr>
        <w:t>云南省曲靖市沾益区沾益工业园区城西片区</w:t>
      </w:r>
    </w:p>
    <w:p>
      <w:pPr>
        <w:pStyle w:val="6"/>
        <w:spacing w:line="240" w:lineRule="auto"/>
        <w:ind w:left="769"/>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6</w:t>
      </w:r>
      <w:r>
        <w:rPr>
          <w:rFonts w:hint="eastAsia" w:ascii="仿宋_GB2312" w:hAnsi="仿宋_GB2312" w:eastAsia="仿宋_GB2312" w:cs="仿宋_GB2312"/>
          <w:b/>
          <w:spacing w:val="-51"/>
          <w:sz w:val="30"/>
          <w:szCs w:val="30"/>
        </w:rPr>
        <w:t>、</w:t>
      </w:r>
      <w:r>
        <w:rPr>
          <w:rFonts w:hint="eastAsia" w:ascii="仿宋_GB2312" w:hAnsi="仿宋_GB2312" w:eastAsia="仿宋_GB2312" w:cs="仿宋_GB2312"/>
          <w:spacing w:val="-6"/>
          <w:sz w:val="30"/>
          <w:szCs w:val="30"/>
        </w:rPr>
        <w:t>开标时间及投标相关事项将在第二部分《投标须知》上说明，</w:t>
      </w:r>
    </w:p>
    <w:p>
      <w:pPr>
        <w:pStyle w:val="6"/>
        <w:spacing w:line="240" w:lineRule="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招标具体标的情况及要求在本文底部。</w:t>
      </w:r>
      <w:r>
        <w:drawing>
          <wp:anchor distT="0" distB="0" distL="114300" distR="114300" simplePos="0" relativeHeight="251660288" behindDoc="0" locked="0" layoutInCell="1" allowOverlap="1">
            <wp:simplePos x="0" y="0"/>
            <wp:positionH relativeFrom="column">
              <wp:posOffset>5601335</wp:posOffset>
            </wp:positionH>
            <wp:positionV relativeFrom="paragraph">
              <wp:posOffset>-598170</wp:posOffset>
            </wp:positionV>
            <wp:extent cx="646430" cy="431800"/>
            <wp:effectExtent l="0" t="0" r="1270" b="6350"/>
            <wp:wrapSquare wrapText="bothSides"/>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646430" cy="431800"/>
                    </a:xfrm>
                    <a:prstGeom prst="rect">
                      <a:avLst/>
                    </a:prstGeom>
                  </pic:spPr>
                </pic:pic>
              </a:graphicData>
            </a:graphic>
          </wp:anchor>
        </w:drawing>
      </w:r>
    </w:p>
    <w:p>
      <w:pPr>
        <w:pStyle w:val="3"/>
        <w:tabs>
          <w:tab w:val="left" w:pos="5195"/>
        </w:tabs>
        <w:spacing w:line="675" w:lineRule="exact"/>
        <w:ind w:left="0" w:leftChars="0" w:firstLine="2209" w:firstLineChars="500"/>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第二部分</w:t>
      </w:r>
      <w:r>
        <w:rPr>
          <w:rFonts w:hint="eastAsia" w:ascii="仿宋_GB2312" w:hAnsi="仿宋_GB2312" w:eastAsia="仿宋_GB2312" w:cs="仿宋_GB2312"/>
          <w:sz w:val="44"/>
          <w:szCs w:val="44"/>
          <w:lang w:val="en-US" w:eastAsia="zh-CN"/>
        </w:rPr>
        <w:t xml:space="preserve">    </w:t>
      </w:r>
      <w:r>
        <w:rPr>
          <w:rFonts w:hint="eastAsia" w:ascii="仿宋_GB2312" w:hAnsi="仿宋_GB2312" w:eastAsia="仿宋_GB2312" w:cs="仿宋_GB2312"/>
          <w:sz w:val="44"/>
          <w:szCs w:val="44"/>
        </w:rPr>
        <w:t>投标须知</w:t>
      </w:r>
    </w:p>
    <w:tbl>
      <w:tblPr>
        <w:tblStyle w:val="8"/>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44"/>
        <w:gridCol w:w="665"/>
        <w:gridCol w:w="87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5000" w:type="pct"/>
            <w:gridSpan w:val="3"/>
            <w:tcBorders>
              <w:tl2br w:val="nil"/>
              <w:tr2bl w:val="nil"/>
            </w:tcBorders>
          </w:tcPr>
          <w:p>
            <w:pPr>
              <w:pStyle w:val="11"/>
              <w:spacing w:before="96" w:line="404" w:lineRule="exact"/>
              <w:ind w:left="2"/>
              <w:jc w:val="center"/>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主要内容</w:t>
            </w:r>
            <w:r>
              <w:rPr>
                <w:rFonts w:hint="eastAsia" w:ascii="仿宋_GB2312" w:hAnsi="仿宋_GB2312" w:eastAsia="仿宋_GB2312" w:cs="仿宋_GB2312"/>
                <w:b/>
                <w:bCs/>
                <w:color w:val="FF0000"/>
                <w:sz w:val="30"/>
                <w:szCs w:val="30"/>
                <w:lang w:eastAsia="zh-CN"/>
              </w:rPr>
              <w:t>（</w:t>
            </w:r>
            <w:r>
              <w:rPr>
                <w:rFonts w:hint="eastAsia" w:ascii="仿宋_GB2312" w:hAnsi="仿宋_GB2312" w:eastAsia="仿宋_GB2312" w:cs="仿宋_GB2312"/>
                <w:b/>
                <w:bCs/>
                <w:color w:val="FF0000"/>
                <w:sz w:val="30"/>
                <w:szCs w:val="30"/>
                <w:lang w:val="en-US" w:eastAsia="zh-CN"/>
              </w:rPr>
              <w:t>根据具体招标情况修订</w:t>
            </w:r>
            <w:r>
              <w:rPr>
                <w:rFonts w:hint="eastAsia" w:ascii="仿宋_GB2312" w:hAnsi="仿宋_GB2312" w:eastAsia="仿宋_GB2312" w:cs="仿宋_GB2312"/>
                <w:b/>
                <w:bCs/>
                <w:color w:val="FF0000"/>
                <w:sz w:val="30"/>
                <w:szCs w:val="3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1" w:hRule="atLeast"/>
        </w:trPr>
        <w:tc>
          <w:tcPr>
            <w:tcW w:w="319" w:type="pct"/>
            <w:tcBorders>
              <w:tl2br w:val="nil"/>
              <w:tr2bl w:val="nil"/>
            </w:tcBorders>
          </w:tcPr>
          <w:p>
            <w:pPr>
              <w:pStyle w:val="11"/>
              <w:spacing w:before="118"/>
              <w:ind w:left="120"/>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w w:val="99"/>
                <w:sz w:val="30"/>
                <w:szCs w:val="30"/>
                <w14:textFill>
                  <w14:solidFill>
                    <w14:schemeClr w14:val="tx1"/>
                  </w14:solidFill>
                </w14:textFill>
              </w:rPr>
              <w:t>1</w:t>
            </w:r>
          </w:p>
        </w:tc>
        <w:tc>
          <w:tcPr>
            <w:tcW w:w="4680" w:type="pct"/>
            <w:gridSpan w:val="2"/>
            <w:tcBorders>
              <w:tl2br w:val="nil"/>
              <w:tr2bl w:val="nil"/>
            </w:tcBorders>
          </w:tcPr>
          <w:p>
            <w:pPr>
              <w:pStyle w:val="11"/>
              <w:spacing w:before="96" w:line="240" w:lineRule="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招标方式：网上公开招标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4" w:hRule="atLeast"/>
        </w:trPr>
        <w:tc>
          <w:tcPr>
            <w:tcW w:w="319" w:type="pct"/>
            <w:tcBorders>
              <w:tl2br w:val="nil"/>
              <w:tr2bl w:val="nil"/>
            </w:tcBorders>
          </w:tcPr>
          <w:p>
            <w:pPr>
              <w:pStyle w:val="11"/>
              <w:jc w:val="center"/>
              <w:rPr>
                <w:rFonts w:hint="eastAsia" w:ascii="仿宋_GB2312" w:hAnsi="仿宋_GB2312" w:eastAsia="仿宋_GB2312" w:cs="仿宋_GB2312"/>
                <w:b/>
                <w:color w:val="000000" w:themeColor="text1"/>
                <w:sz w:val="30"/>
                <w:szCs w:val="30"/>
                <w14:textFill>
                  <w14:solidFill>
                    <w14:schemeClr w14:val="tx1"/>
                  </w14:solidFill>
                </w14:textFill>
              </w:rPr>
            </w:pPr>
          </w:p>
          <w:p>
            <w:pPr>
              <w:pStyle w:val="11"/>
              <w:spacing w:before="3"/>
              <w:jc w:val="center"/>
              <w:rPr>
                <w:rFonts w:hint="eastAsia" w:ascii="仿宋_GB2312" w:hAnsi="仿宋_GB2312" w:eastAsia="仿宋_GB2312" w:cs="仿宋_GB2312"/>
                <w:b/>
                <w:color w:val="000000" w:themeColor="text1"/>
                <w:sz w:val="30"/>
                <w:szCs w:val="30"/>
                <w14:textFill>
                  <w14:solidFill>
                    <w14:schemeClr w14:val="tx1"/>
                  </w14:solidFill>
                </w14:textFill>
              </w:rPr>
            </w:pPr>
          </w:p>
          <w:p>
            <w:pPr>
              <w:pStyle w:val="11"/>
              <w:ind w:left="120"/>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w w:val="99"/>
                <w:sz w:val="30"/>
                <w:szCs w:val="30"/>
                <w14:textFill>
                  <w14:solidFill>
                    <w14:schemeClr w14:val="tx1"/>
                  </w14:solidFill>
                </w14:textFill>
              </w:rPr>
              <w:t>2</w:t>
            </w:r>
          </w:p>
        </w:tc>
        <w:tc>
          <w:tcPr>
            <w:tcW w:w="329" w:type="pct"/>
            <w:tcBorders>
              <w:tl2br w:val="nil"/>
              <w:tr2bl w:val="nil"/>
            </w:tcBorders>
          </w:tcPr>
          <w:p>
            <w:pPr>
              <w:pStyle w:val="11"/>
              <w:spacing w:line="240" w:lineRule="auto"/>
              <w:rPr>
                <w:rFonts w:hint="eastAsia" w:ascii="仿宋_GB2312" w:hAnsi="仿宋_GB2312" w:eastAsia="仿宋_GB2312" w:cs="仿宋_GB2312"/>
                <w:b/>
                <w:color w:val="000000" w:themeColor="text1"/>
                <w:sz w:val="30"/>
                <w:szCs w:val="30"/>
                <w14:textFill>
                  <w14:solidFill>
                    <w14:schemeClr w14:val="tx1"/>
                  </w14:solidFill>
                </w14:textFill>
              </w:rPr>
            </w:pPr>
          </w:p>
          <w:p>
            <w:pPr>
              <w:pStyle w:val="11"/>
              <w:spacing w:before="14" w:line="240" w:lineRule="auto"/>
              <w:jc w:val="center"/>
              <w:rPr>
                <w:rFonts w:hint="eastAsia" w:ascii="仿宋_GB2312" w:hAnsi="仿宋_GB2312" w:eastAsia="仿宋_GB2312" w:cs="仿宋_GB2312"/>
                <w:b/>
                <w:color w:val="000000" w:themeColor="text1"/>
                <w:sz w:val="30"/>
                <w:szCs w:val="30"/>
                <w14:textFill>
                  <w14:solidFill>
                    <w14:schemeClr w14:val="tx1"/>
                  </w14:solidFill>
                </w14:textFill>
              </w:rPr>
            </w:pPr>
          </w:p>
          <w:p>
            <w:pPr>
              <w:pStyle w:val="11"/>
              <w:spacing w:line="240" w:lineRule="auto"/>
              <w:ind w:left="5" w:right="109"/>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招标时间</w:t>
            </w:r>
          </w:p>
        </w:tc>
        <w:tc>
          <w:tcPr>
            <w:tcW w:w="4350" w:type="pct"/>
            <w:tcBorders>
              <w:tl2br w:val="nil"/>
              <w:tr2bl w:val="nil"/>
            </w:tcBorders>
          </w:tcPr>
          <w:p>
            <w:pPr>
              <w:pStyle w:val="11"/>
              <w:spacing w:before="97" w:line="240" w:lineRule="auto"/>
              <w:ind w:left="1"/>
              <w:rPr>
                <w:rFonts w:hint="eastAsia" w:ascii="仿宋_GB2312" w:hAnsi="仿宋_GB2312" w:eastAsia="仿宋_GB2312" w:cs="仿宋_GB2312"/>
                <w:color w:val="000000" w:themeColor="text1"/>
                <w:sz w:val="30"/>
                <w:szCs w:val="30"/>
                <w:highlight w:val="yellow"/>
                <w:lang w:val="en-US"/>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①</w:t>
            </w:r>
            <w:r>
              <w:rPr>
                <w:rFonts w:hint="eastAsia" w:ascii="仿宋_GB2312" w:hAnsi="仿宋_GB2312" w:eastAsia="仿宋_GB2312" w:cs="仿宋_GB2312"/>
                <w:color w:val="000000" w:themeColor="text1"/>
                <w:sz w:val="30"/>
                <w:szCs w:val="30"/>
                <w14:textFill>
                  <w14:solidFill>
                    <w14:schemeClr w14:val="tx1"/>
                  </w14:solidFill>
                </w14:textFill>
              </w:rPr>
              <w:t>投标报名文件收集截止时间：</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2024年3月21日</w:t>
            </w:r>
          </w:p>
          <w:p>
            <w:pPr>
              <w:pStyle w:val="11"/>
              <w:spacing w:before="111" w:line="240" w:lineRule="auto"/>
              <w:ind w:left="1"/>
              <w:rPr>
                <w:rFonts w:hint="eastAsia" w:ascii="仿宋_GB2312" w:hAnsi="仿宋_GB2312" w:eastAsia="仿宋_GB2312" w:cs="仿宋_GB2312"/>
                <w:color w:val="000000" w:themeColor="text1"/>
                <w:sz w:val="30"/>
                <w:szCs w:val="30"/>
                <w:u w:val="single"/>
                <w:lang w:val="en-US"/>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②</w:t>
            </w:r>
            <w:r>
              <w:rPr>
                <w:rFonts w:hint="eastAsia" w:ascii="仿宋_GB2312" w:hAnsi="仿宋_GB2312" w:eastAsia="仿宋_GB2312" w:cs="仿宋_GB2312"/>
                <w:color w:val="000000" w:themeColor="text1"/>
                <w:sz w:val="30"/>
                <w:szCs w:val="30"/>
                <w14:textFill>
                  <w14:solidFill>
                    <w14:schemeClr w14:val="tx1"/>
                  </w14:solidFill>
                </w14:textFill>
              </w:rPr>
              <w:t>招标文件解答时间：</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2024年3月21日</w:t>
            </w:r>
          </w:p>
          <w:p>
            <w:pPr>
              <w:pStyle w:val="11"/>
              <w:spacing w:before="108" w:line="240" w:lineRule="auto"/>
              <w:ind w:left="1" w:right="138"/>
              <w:rPr>
                <w:rFonts w:hint="eastAsia" w:ascii="仿宋_GB2312" w:hAnsi="仿宋_GB2312" w:eastAsia="仿宋_GB2312" w:cs="仿宋_GB2312"/>
                <w:color w:val="000000" w:themeColor="text1"/>
                <w:sz w:val="30"/>
                <w:szCs w:val="30"/>
                <w:highlight w:val="yellow"/>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③</w:t>
            </w:r>
            <w:r>
              <w:rPr>
                <w:rFonts w:hint="eastAsia" w:ascii="仿宋_GB2312" w:hAnsi="仿宋_GB2312" w:eastAsia="仿宋_GB2312" w:cs="仿宋_GB2312"/>
                <w:color w:val="000000" w:themeColor="text1"/>
                <w:sz w:val="30"/>
                <w:szCs w:val="30"/>
                <w14:textFill>
                  <w14:solidFill>
                    <w14:schemeClr w14:val="tx1"/>
                  </w14:solidFill>
                </w14:textFill>
              </w:rPr>
              <w:t>资质评审结果通知时间：</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2024年3月21日</w:t>
            </w:r>
            <w:r>
              <w:rPr>
                <w:rFonts w:hint="eastAsia" w:ascii="仿宋_GB2312" w:hAnsi="仿宋_GB2312" w:eastAsia="仿宋_GB2312" w:cs="仿宋_GB2312"/>
                <w:color w:val="000000" w:themeColor="text1"/>
                <w:sz w:val="30"/>
                <w:szCs w:val="30"/>
                <w:highlight w:val="yellow"/>
                <w:u w:val="single"/>
                <w14:textFill>
                  <w14:solidFill>
                    <w14:schemeClr w14:val="tx1"/>
                  </w14:solidFill>
                </w14:textFill>
              </w:rPr>
              <w:t>(各投标单位须在该时间登录自身报名邮箱查收结果通知）</w:t>
            </w:r>
          </w:p>
          <w:p>
            <w:pPr>
              <w:pStyle w:val="11"/>
              <w:spacing w:line="240" w:lineRule="auto"/>
              <w:ind w:left="1"/>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④</w:t>
            </w:r>
            <w:r>
              <w:rPr>
                <w:rFonts w:hint="eastAsia" w:ascii="仿宋_GB2312" w:hAnsi="仿宋_GB2312" w:eastAsia="仿宋_GB2312" w:cs="仿宋_GB2312"/>
                <w:color w:val="000000" w:themeColor="text1"/>
                <w:sz w:val="30"/>
                <w:szCs w:val="30"/>
                <w14:textFill>
                  <w14:solidFill>
                    <w14:schemeClr w14:val="tx1"/>
                  </w14:solidFill>
                </w14:textFill>
              </w:rPr>
              <w:t>投标时间：</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2024年3月22日10:00-16:00</w:t>
            </w:r>
          </w:p>
          <w:p>
            <w:pPr>
              <w:pStyle w:val="11"/>
              <w:spacing w:before="109" w:line="240" w:lineRule="auto"/>
              <w:ind w:left="1"/>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⑤</w:t>
            </w:r>
            <w:r>
              <w:rPr>
                <w:rFonts w:hint="eastAsia" w:ascii="仿宋_GB2312" w:hAnsi="仿宋_GB2312" w:eastAsia="仿宋_GB2312" w:cs="仿宋_GB2312"/>
                <w:color w:val="000000" w:themeColor="text1"/>
                <w:sz w:val="30"/>
                <w:szCs w:val="30"/>
                <w14:textFill>
                  <w14:solidFill>
                    <w14:schemeClr w14:val="tx1"/>
                  </w14:solidFill>
                </w14:textFill>
              </w:rPr>
              <w:t>开标时间：</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2024年3月22</w:t>
            </w:r>
            <w:bookmarkStart w:id="0" w:name="_GoBack"/>
            <w:bookmarkEnd w:id="0"/>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日16:30</w:t>
            </w:r>
          </w:p>
          <w:p>
            <w:pPr>
              <w:pStyle w:val="11"/>
              <w:spacing w:before="109" w:line="240" w:lineRule="auto"/>
              <w:ind w:left="1"/>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上述时间、地点如有变动，以招标人的通知为准。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319" w:type="pct"/>
            <w:tcBorders>
              <w:tl2br w:val="nil"/>
              <w:tr2bl w:val="nil"/>
            </w:tcBorders>
            <w:vAlign w:val="top"/>
          </w:tcPr>
          <w:p>
            <w:pPr>
              <w:pStyle w:val="11"/>
              <w:spacing w:before="1"/>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pPr>
              <w:pStyle w:val="11"/>
              <w:spacing w:before="1"/>
              <w:jc w:val="center"/>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p>
        </w:tc>
        <w:tc>
          <w:tcPr>
            <w:tcW w:w="4680" w:type="pct"/>
            <w:gridSpan w:val="2"/>
            <w:tcBorders>
              <w:tl2br w:val="nil"/>
              <w:tr2bl w:val="nil"/>
            </w:tcBorders>
          </w:tcPr>
          <w:p>
            <w:pPr>
              <w:pStyle w:val="11"/>
              <w:tabs>
                <w:tab w:val="left" w:pos="2560"/>
                <w:tab w:val="left" w:pos="6400"/>
              </w:tabs>
              <w:spacing w:before="97" w:line="240" w:lineRule="auto"/>
              <w:ind w:left="2561" w:right="0" w:hanging="2559"/>
              <w:rPr>
                <w:rFonts w:hint="eastAsia" w:ascii="仿宋_GB2312" w:hAnsi="仿宋_GB2312" w:eastAsia="仿宋_GB2312" w:cs="仿宋_GB2312"/>
                <w:color w:val="000000" w:themeColor="text1"/>
                <w:spacing w:val="-6"/>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投标答疑联系人</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pacing w:val="-6"/>
                <w:sz w:val="30"/>
                <w:szCs w:val="30"/>
                <w:highlight w:val="yellow"/>
                <w:u w:val="single"/>
                <w:lang w:val="en-US" w:eastAsia="zh-CN"/>
                <w14:textFill>
                  <w14:solidFill>
                    <w14:schemeClr w14:val="tx1"/>
                  </w14:solidFill>
                </w14:textFill>
              </w:rPr>
              <w:t xml:space="preserve">   高海丽    电话：15087496147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4" w:hRule="atLeast"/>
        </w:trPr>
        <w:tc>
          <w:tcPr>
            <w:tcW w:w="319" w:type="pct"/>
            <w:tcBorders>
              <w:tl2br w:val="nil"/>
              <w:tr2bl w:val="nil"/>
            </w:tcBorders>
          </w:tcPr>
          <w:p>
            <w:pPr>
              <w:pStyle w:val="11"/>
              <w:jc w:val="center"/>
              <w:rPr>
                <w:rFonts w:hint="eastAsia" w:ascii="仿宋_GB2312" w:hAnsi="仿宋_GB2312" w:eastAsia="仿宋_GB2312" w:cs="仿宋_GB2312"/>
                <w:b/>
                <w:color w:val="000000" w:themeColor="text1"/>
                <w:sz w:val="30"/>
                <w:szCs w:val="30"/>
                <w14:textFill>
                  <w14:solidFill>
                    <w14:schemeClr w14:val="tx1"/>
                  </w14:solidFill>
                </w14:textFill>
              </w:rPr>
            </w:pPr>
          </w:p>
          <w:p>
            <w:pPr>
              <w:pStyle w:val="11"/>
              <w:jc w:val="center"/>
              <w:rPr>
                <w:rFonts w:hint="eastAsia" w:ascii="仿宋_GB2312" w:hAnsi="仿宋_GB2312" w:eastAsia="仿宋_GB2312" w:cs="仿宋_GB2312"/>
                <w:b/>
                <w:color w:val="000000" w:themeColor="text1"/>
                <w:sz w:val="30"/>
                <w:szCs w:val="30"/>
                <w14:textFill>
                  <w14:solidFill>
                    <w14:schemeClr w14:val="tx1"/>
                  </w14:solidFill>
                </w14:textFill>
              </w:rPr>
            </w:pPr>
          </w:p>
          <w:p>
            <w:pPr>
              <w:pStyle w:val="11"/>
              <w:jc w:val="center"/>
              <w:rPr>
                <w:rFonts w:hint="eastAsia" w:ascii="仿宋_GB2312" w:hAnsi="仿宋_GB2312" w:eastAsia="仿宋_GB2312" w:cs="仿宋_GB2312"/>
                <w:b/>
                <w:color w:val="000000" w:themeColor="text1"/>
                <w:sz w:val="30"/>
                <w:szCs w:val="30"/>
                <w14:textFill>
                  <w14:solidFill>
                    <w14:schemeClr w14:val="tx1"/>
                  </w14:solidFill>
                </w14:textFill>
              </w:rPr>
            </w:pPr>
          </w:p>
          <w:p>
            <w:pPr>
              <w:pStyle w:val="11"/>
              <w:jc w:val="center"/>
              <w:rPr>
                <w:rFonts w:hint="eastAsia" w:ascii="仿宋_GB2312" w:hAnsi="仿宋_GB2312" w:eastAsia="仿宋_GB2312" w:cs="仿宋_GB2312"/>
                <w:b/>
                <w:color w:val="000000" w:themeColor="text1"/>
                <w:sz w:val="30"/>
                <w:szCs w:val="30"/>
                <w14:textFill>
                  <w14:solidFill>
                    <w14:schemeClr w14:val="tx1"/>
                  </w14:solidFill>
                </w14:textFill>
              </w:rPr>
            </w:pPr>
          </w:p>
          <w:p>
            <w:pPr>
              <w:pStyle w:val="11"/>
              <w:spacing w:before="18"/>
              <w:jc w:val="center"/>
              <w:rPr>
                <w:rFonts w:hint="eastAsia" w:ascii="仿宋_GB2312" w:hAnsi="仿宋_GB2312" w:eastAsia="仿宋_GB2312" w:cs="仿宋_GB2312"/>
                <w:b/>
                <w:color w:val="000000" w:themeColor="text1"/>
                <w:sz w:val="30"/>
                <w:szCs w:val="30"/>
                <w14:textFill>
                  <w14:solidFill>
                    <w14:schemeClr w14:val="tx1"/>
                  </w14:solidFill>
                </w14:textFill>
              </w:rPr>
            </w:pPr>
          </w:p>
          <w:p>
            <w:pPr>
              <w:pStyle w:val="11"/>
              <w:ind w:left="120"/>
              <w:jc w:val="cente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w w:val="99"/>
                <w:sz w:val="30"/>
                <w:szCs w:val="30"/>
                <w14:textFill>
                  <w14:solidFill>
                    <w14:schemeClr w14:val="tx1"/>
                  </w14:solidFill>
                </w14:textFill>
              </w:rPr>
              <w:t>4</w:t>
            </w:r>
          </w:p>
        </w:tc>
        <w:tc>
          <w:tcPr>
            <w:tcW w:w="4680" w:type="pct"/>
            <w:gridSpan w:val="2"/>
            <w:tcBorders>
              <w:tl2br w:val="nil"/>
              <w:tr2bl w:val="nil"/>
            </w:tcBorders>
          </w:tcPr>
          <w:p>
            <w:pPr>
              <w:bidi w:val="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投标人资质要求</w:t>
            </w:r>
          </w:p>
          <w:p>
            <w:pPr>
              <w:bidi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在中华人民共和国境内注册的具有运输许可资质的企业单位、</w:t>
            </w:r>
          </w:p>
          <w:p>
            <w:pPr>
              <w:bidi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经济实体和个体工商户，自然人。且未列入温氏集团运输黑名单围；</w:t>
            </w:r>
          </w:p>
          <w:p>
            <w:pPr>
              <w:bidi w:val="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保证确实拥有车辆的所有权或合法的使用权，并在国家规定的时间内负责办理有关车辆登记、年审、缴费、备案等有关法律、法规、规章及政策要求的手续；</w:t>
            </w:r>
          </w:p>
          <w:p>
            <w:pPr>
              <w:bidi w:val="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投标人必须保证充足的运力（</w:t>
            </w:r>
            <w:r>
              <w:rPr>
                <w:rFonts w:hint="eastAsia" w:ascii="仿宋_GB2312" w:hAnsi="仿宋_GB2312" w:eastAsia="仿宋_GB2312" w:cs="仿宋_GB2312"/>
                <w:sz w:val="30"/>
                <w:szCs w:val="30"/>
                <w:highlight w:val="yellow"/>
                <w:lang w:val="en-US" w:eastAsia="zh-CN"/>
              </w:rPr>
              <w:t>至少三辆9.6米恒温车），车辆配置数量需要满足招标人的运输需求；</w:t>
            </w:r>
          </w:p>
          <w:p>
            <w:pPr>
              <w:bidi w:val="0"/>
              <w:rPr>
                <w:rFonts w:hint="eastAsia" w:ascii="仿宋_GB2312" w:hAnsi="仿宋_GB2312" w:eastAsia="仿宋_GB2312" w:cs="仿宋_GB2312"/>
                <w:sz w:val="30"/>
                <w:szCs w:val="30"/>
                <w:highlight w:val="yellow"/>
                <w:lang w:val="en-US" w:eastAsia="zh-CN"/>
              </w:rPr>
            </w:pPr>
            <w:r>
              <w:rPr>
                <w:rFonts w:hint="eastAsia" w:ascii="仿宋_GB2312" w:hAnsi="仿宋_GB2312" w:eastAsia="仿宋_GB2312" w:cs="仿宋_GB2312"/>
                <w:sz w:val="30"/>
                <w:szCs w:val="30"/>
                <w:lang w:val="en-US" w:eastAsia="zh-CN"/>
              </w:rPr>
              <w:t>投标人配置的运输车辆必须</w:t>
            </w:r>
            <w:r>
              <w:rPr>
                <w:rFonts w:hint="eastAsia" w:ascii="仿宋_GB2312" w:hAnsi="仿宋_GB2312" w:eastAsia="仿宋_GB2312" w:cs="仿宋_GB2312"/>
                <w:sz w:val="30"/>
                <w:szCs w:val="30"/>
                <w:highlight w:val="yellow"/>
                <w:lang w:val="en-US" w:eastAsia="zh-CN"/>
              </w:rPr>
              <w:t>为专业猪只运输车辆，具备</w:t>
            </w:r>
            <w:r>
              <w:rPr>
                <w:rFonts w:hint="eastAsia" w:ascii="仿宋_GB2312" w:hAnsi="仿宋_GB2312" w:eastAsia="仿宋_GB2312" w:cs="仿宋_GB2312"/>
                <w:sz w:val="30"/>
                <w:szCs w:val="30"/>
                <w:highlight w:val="yellow"/>
                <w:lang w:eastAsia="zh-CN"/>
              </w:rPr>
              <w:t>机房、空气过滤系统、空调系统、供暖系统、自动调温系统、监控系统、喷淋降温系统、尾部垂直液压升降系统、照明系统、饮水系统，</w:t>
            </w:r>
            <w:r>
              <w:rPr>
                <w:rFonts w:hint="eastAsia" w:ascii="仿宋_GB2312" w:hAnsi="仿宋_GB2312" w:eastAsia="仿宋_GB2312" w:cs="仿宋_GB2312"/>
                <w:sz w:val="30"/>
                <w:szCs w:val="30"/>
                <w:highlight w:val="yellow"/>
                <w:lang w:val="en-US" w:eastAsia="zh-CN"/>
              </w:rPr>
              <w:t>并自费安装云南养猪公司指定的行车记录仪、车载GPS。</w:t>
            </w:r>
          </w:p>
          <w:p>
            <w:pPr>
              <w:bidi w:val="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(5)自行增加</w:t>
            </w:r>
          </w:p>
          <w:p>
            <w:pPr>
              <w:pStyle w:val="11"/>
              <w:widowControl w:val="0"/>
              <w:numPr>
                <w:ilvl w:val="0"/>
                <w:numId w:val="0"/>
              </w:numPr>
              <w:autoSpaceDE w:val="0"/>
              <w:autoSpaceDN w:val="0"/>
              <w:spacing w:before="65" w:after="0" w:line="240" w:lineRule="auto"/>
              <w:ind w:right="0" w:rightChars="0"/>
              <w:jc w:val="left"/>
              <w:rPr>
                <w:rFonts w:hint="eastAsia" w:ascii="仿宋_GB2312" w:hAnsi="仿宋_GB2312" w:eastAsia="仿宋_GB2312" w:cs="仿宋_GB2312"/>
                <w:color w:val="000000" w:themeColor="text1"/>
                <w:w w:val="95"/>
                <w:sz w:val="30"/>
                <w:szCs w:val="30"/>
                <w:lang w:val="en-US" w:eastAsia="zh-CN"/>
                <w14:textFill>
                  <w14:solidFill>
                    <w14:schemeClr w14:val="tx1"/>
                  </w14:solidFill>
                </w14:textFill>
              </w:rPr>
            </w:pPr>
          </w:p>
          <w:p>
            <w:pPr>
              <w:pStyle w:val="11"/>
              <w:numPr>
                <w:ilvl w:val="0"/>
                <w:numId w:val="0"/>
              </w:numPr>
              <w:tabs>
                <w:tab w:val="left" w:pos="803"/>
              </w:tabs>
              <w:spacing w:before="70" w:after="0" w:line="240" w:lineRule="auto"/>
              <w:ind w:right="112" w:rightChars="0"/>
              <w:jc w:val="lef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所有承运车辆均须遵守招标人对应公司的防疫要求</w:t>
            </w:r>
            <w:r>
              <w:rPr>
                <w:rFonts w:hint="eastAsia" w:ascii="仿宋_GB2312" w:hAnsi="仿宋_GB2312" w:eastAsia="仿宋_GB2312" w:cs="仿宋_GB2312"/>
                <w:b/>
                <w:color w:val="000000" w:themeColor="text1"/>
                <w:sz w:val="30"/>
                <w:szCs w:val="30"/>
                <w:lang w:eastAsia="zh-CN"/>
                <w14:textFill>
                  <w14:solidFill>
                    <w14:schemeClr w14:val="tx1"/>
                  </w14:solidFill>
                </w14:textFill>
              </w:rPr>
              <w:t>；</w:t>
            </w:r>
          </w:p>
        </w:tc>
      </w:tr>
    </w:tbl>
    <w:p>
      <w:pPr>
        <w:pStyle w:val="4"/>
        <w:spacing w:line="240" w:lineRule="auto"/>
        <w:ind w:left="0" w:right="0"/>
        <w:jc w:val="both"/>
        <w:sectPr>
          <w:pgSz w:w="11910" w:h="16840"/>
          <w:pgMar w:top="1440" w:right="720" w:bottom="1380" w:left="1100" w:header="0" w:footer="1194" w:gutter="0"/>
          <w:pgBorders>
            <w:top w:val="none" w:sz="0" w:space="0"/>
            <w:left w:val="none" w:sz="0" w:space="0"/>
            <w:bottom w:val="none" w:sz="0" w:space="0"/>
            <w:right w:val="none" w:sz="0" w:space="0"/>
          </w:pgBorders>
          <w:cols w:space="720" w:num="1"/>
        </w:sectPr>
      </w:pPr>
    </w:p>
    <w:p>
      <w:pPr>
        <w:keepNext w:val="0"/>
        <w:keepLines w:val="0"/>
        <w:pageBreakBefore w:val="0"/>
        <w:widowControl w:val="0"/>
        <w:kinsoku/>
        <w:wordWrap/>
        <w:overflowPunct/>
        <w:topLinePunct w:val="0"/>
        <w:bidi w:val="0"/>
        <w:adjustRightInd/>
        <w:snapToGrid/>
        <w:spacing w:before="0" w:line="508" w:lineRule="exact"/>
        <w:ind w:right="0" w:firstLine="602" w:firstLineChars="200"/>
        <w:jc w:val="left"/>
        <w:textAlignment w:val="auto"/>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（一）保密责任</w:t>
      </w:r>
      <w:r>
        <w:drawing>
          <wp:anchor distT="0" distB="0" distL="114300" distR="114300" simplePos="0" relativeHeight="251661312" behindDoc="0" locked="0" layoutInCell="1" allowOverlap="1">
            <wp:simplePos x="0" y="0"/>
            <wp:positionH relativeFrom="column">
              <wp:posOffset>5601335</wp:posOffset>
            </wp:positionH>
            <wp:positionV relativeFrom="paragraph">
              <wp:posOffset>-547370</wp:posOffset>
            </wp:positionV>
            <wp:extent cx="646430" cy="431800"/>
            <wp:effectExtent l="0" t="0" r="1270" b="6350"/>
            <wp:wrapSquare wrapText="bothSides"/>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646430" cy="431800"/>
                    </a:xfrm>
                    <a:prstGeom prst="rect">
                      <a:avLst/>
                    </a:prstGeom>
                  </pic:spPr>
                </pic:pic>
              </a:graphicData>
            </a:graphic>
          </wp:anchor>
        </w:drawing>
      </w:r>
    </w:p>
    <w:p>
      <w:pPr>
        <w:pStyle w:val="6"/>
        <w:keepNext w:val="0"/>
        <w:keepLines w:val="0"/>
        <w:pageBreakBefore w:val="0"/>
        <w:widowControl w:val="0"/>
        <w:kinsoku/>
        <w:wordWrap/>
        <w:overflowPunct/>
        <w:topLinePunct w:val="0"/>
        <w:bidi w:val="0"/>
        <w:adjustRightInd/>
        <w:snapToGrid/>
        <w:spacing w:before="0" w:line="280" w:lineRule="auto"/>
        <w:ind w:right="509" w:firstLine="640"/>
        <w:jc w:val="both"/>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pacing w:val="-8"/>
          <w:sz w:val="30"/>
          <w:szCs w:val="30"/>
          <w14:textFill>
            <w14:solidFill>
              <w14:schemeClr w14:val="tx1"/>
            </w14:solidFill>
          </w14:textFill>
        </w:rPr>
        <w:t>投标人对招标文件和相关资料必须承担保密责任。未经招标人的</w:t>
      </w:r>
      <w:r>
        <w:rPr>
          <w:rFonts w:hint="eastAsia" w:ascii="仿宋_GB2312" w:hAnsi="仿宋_GB2312" w:eastAsia="仿宋_GB2312" w:cs="仿宋_GB2312"/>
          <w:color w:val="000000" w:themeColor="text1"/>
          <w:spacing w:val="-14"/>
          <w:sz w:val="30"/>
          <w:szCs w:val="30"/>
          <w14:textFill>
            <w14:solidFill>
              <w14:schemeClr w14:val="tx1"/>
            </w14:solidFill>
          </w14:textFill>
        </w:rPr>
        <w:t>书面同意，不得向任何第三方以任何方式泄露。如有违反，将承担一切法律责任和后果。</w:t>
      </w:r>
    </w:p>
    <w:p>
      <w:pPr>
        <w:pStyle w:val="4"/>
        <w:keepNext w:val="0"/>
        <w:keepLines w:val="0"/>
        <w:pageBreakBefore w:val="0"/>
        <w:widowControl w:val="0"/>
        <w:kinsoku/>
        <w:wordWrap/>
        <w:overflowPunct/>
        <w:topLinePunct w:val="0"/>
        <w:bidi w:val="0"/>
        <w:adjustRightInd/>
        <w:snapToGrid/>
        <w:spacing w:before="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（二）标的合同期限</w:t>
      </w:r>
    </w:p>
    <w:p>
      <w:pPr>
        <w:pStyle w:val="6"/>
        <w:keepNext w:val="0"/>
        <w:keepLines w:val="0"/>
        <w:pageBreakBefore w:val="0"/>
        <w:widowControl w:val="0"/>
        <w:kinsoku/>
        <w:wordWrap/>
        <w:overflowPunct/>
        <w:topLinePunct w:val="0"/>
        <w:bidi w:val="0"/>
        <w:adjustRightInd/>
        <w:snapToGrid/>
        <w:spacing w:before="0" w:line="391" w:lineRule="exact"/>
        <w:ind w:firstLine="600" w:firstLineChars="200"/>
        <w:textAlignment w:val="auto"/>
        <w:rPr>
          <w:rFonts w:hint="eastAsia" w:ascii="仿宋_GB2312" w:hAnsi="仿宋_GB2312" w:eastAsia="仿宋_GB2312" w:cs="仿宋_GB2312"/>
          <w:color w:val="000000" w:themeColor="text1"/>
          <w:sz w:val="30"/>
          <w:szCs w:val="30"/>
          <w:highlight w:val="yellow"/>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本次招投标合同期限为</w:t>
      </w:r>
      <w:r>
        <w:rPr>
          <w:rFonts w:hint="eastAsia" w:ascii="仿宋_GB2312" w:hAnsi="仿宋_GB2312" w:eastAsia="仿宋_GB2312" w:cs="仿宋_GB2312"/>
          <w:color w:val="000000" w:themeColor="text1"/>
          <w:sz w:val="30"/>
          <w:szCs w:val="30"/>
          <w:highlight w:val="yellow"/>
          <w:u w:val="single"/>
          <w14:textFill>
            <w14:solidFill>
              <w14:schemeClr w14:val="tx1"/>
            </w14:solidFill>
          </w14:textFill>
        </w:rPr>
        <w:t>202</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4</w:t>
      </w:r>
      <w:r>
        <w:rPr>
          <w:rFonts w:hint="eastAsia" w:ascii="仿宋_GB2312" w:hAnsi="仿宋_GB2312" w:eastAsia="仿宋_GB2312" w:cs="仿宋_GB2312"/>
          <w:color w:val="000000" w:themeColor="text1"/>
          <w:sz w:val="30"/>
          <w:szCs w:val="30"/>
          <w:highlight w:val="yellow"/>
          <w:u w:val="single"/>
          <w14:textFill>
            <w14:solidFill>
              <w14:schemeClr w14:val="tx1"/>
            </w14:solidFill>
          </w14:textFill>
        </w:rPr>
        <w:t>年</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4</w:t>
      </w:r>
      <w:r>
        <w:rPr>
          <w:rFonts w:hint="eastAsia" w:ascii="仿宋_GB2312" w:hAnsi="仿宋_GB2312" w:eastAsia="仿宋_GB2312" w:cs="仿宋_GB2312"/>
          <w:color w:val="000000" w:themeColor="text1"/>
          <w:sz w:val="30"/>
          <w:szCs w:val="30"/>
          <w:highlight w:val="yellow"/>
          <w:u w:val="single"/>
          <w14:textFill>
            <w14:solidFill>
              <w14:schemeClr w14:val="tx1"/>
            </w14:solidFill>
          </w14:textFill>
        </w:rPr>
        <w:t>月</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1</w:t>
      </w:r>
      <w:r>
        <w:rPr>
          <w:rFonts w:hint="eastAsia" w:ascii="仿宋_GB2312" w:hAnsi="仿宋_GB2312" w:eastAsia="仿宋_GB2312" w:cs="仿宋_GB2312"/>
          <w:color w:val="000000" w:themeColor="text1"/>
          <w:sz w:val="30"/>
          <w:szCs w:val="30"/>
          <w:highlight w:val="yellow"/>
          <w:u w:val="single"/>
          <w14:textFill>
            <w14:solidFill>
              <w14:schemeClr w14:val="tx1"/>
            </w14:solidFill>
          </w14:textFill>
        </w:rPr>
        <w:t>日至202</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5</w:t>
      </w:r>
      <w:r>
        <w:rPr>
          <w:rFonts w:hint="eastAsia" w:ascii="仿宋_GB2312" w:hAnsi="仿宋_GB2312" w:eastAsia="仿宋_GB2312" w:cs="仿宋_GB2312"/>
          <w:color w:val="000000" w:themeColor="text1"/>
          <w:sz w:val="30"/>
          <w:szCs w:val="30"/>
          <w:highlight w:val="yellow"/>
          <w:u w:val="single"/>
          <w14:textFill>
            <w14:solidFill>
              <w14:schemeClr w14:val="tx1"/>
            </w14:solidFill>
          </w14:textFill>
        </w:rPr>
        <w:t>年</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6</w:t>
      </w:r>
      <w:r>
        <w:rPr>
          <w:rFonts w:hint="eastAsia" w:ascii="仿宋_GB2312" w:hAnsi="仿宋_GB2312" w:eastAsia="仿宋_GB2312" w:cs="仿宋_GB2312"/>
          <w:color w:val="000000" w:themeColor="text1"/>
          <w:sz w:val="30"/>
          <w:szCs w:val="30"/>
          <w:highlight w:val="yellow"/>
          <w:u w:val="single"/>
          <w14:textFill>
            <w14:solidFill>
              <w14:schemeClr w14:val="tx1"/>
            </w14:solidFill>
          </w14:textFill>
        </w:rPr>
        <w:t>月</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30"/>
          <w:szCs w:val="30"/>
          <w:highlight w:val="yellow"/>
          <w:u w:val="single"/>
          <w14:textFill>
            <w14:solidFill>
              <w14:schemeClr w14:val="tx1"/>
            </w14:solidFill>
          </w14:textFill>
        </w:rPr>
        <w:t>日</w:t>
      </w:r>
      <w:r>
        <w:rPr>
          <w:rFonts w:hint="eastAsia" w:ascii="仿宋_GB2312" w:hAnsi="仿宋_GB2312" w:eastAsia="仿宋_GB2312" w:cs="仿宋_GB2312"/>
          <w:color w:val="000000" w:themeColor="text1"/>
          <w:sz w:val="30"/>
          <w:szCs w:val="30"/>
          <w:highlight w:val="yellow"/>
          <w14:textFill>
            <w14:solidFill>
              <w14:schemeClr w14:val="tx1"/>
            </w14:solidFill>
          </w14:textFill>
        </w:rPr>
        <w:t>。</w:t>
      </w:r>
    </w:p>
    <w:p>
      <w:pPr>
        <w:pStyle w:val="4"/>
        <w:keepNext w:val="0"/>
        <w:keepLines w:val="0"/>
        <w:pageBreakBefore w:val="0"/>
        <w:widowControl w:val="0"/>
        <w:kinsoku/>
        <w:wordWrap/>
        <w:overflowPunct/>
        <w:topLinePunct w:val="0"/>
        <w:bidi w:val="0"/>
        <w:adjustRightInd/>
        <w:snapToGrid/>
        <w:spacing w:before="0" w:line="569"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（三）招标原则</w:t>
      </w:r>
    </w:p>
    <w:p>
      <w:pPr>
        <w:keepNext w:val="0"/>
        <w:keepLines w:val="0"/>
        <w:pageBreakBefore w:val="0"/>
        <w:widowControl w:val="0"/>
        <w:kinsoku/>
        <w:wordWrap/>
        <w:overflowPunct/>
        <w:topLinePunct w:val="0"/>
        <w:bidi w:val="0"/>
        <w:adjustRightInd/>
        <w:snapToGrid/>
        <w:spacing w:before="0"/>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招标人在按照公开、公平、公正和诚实信用的原则对投标人的投标进行综合评价，择优选取中标人。</w:t>
      </w:r>
    </w:p>
    <w:p>
      <w:pPr>
        <w:pStyle w:val="4"/>
        <w:keepNext w:val="0"/>
        <w:keepLines w:val="0"/>
        <w:pageBreakBefore w:val="0"/>
        <w:widowControl w:val="0"/>
        <w:kinsoku/>
        <w:wordWrap/>
        <w:overflowPunct/>
        <w:topLinePunct w:val="0"/>
        <w:bidi w:val="0"/>
        <w:adjustRightInd/>
        <w:snapToGrid/>
        <w:spacing w:before="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（四）招标人权利</w:t>
      </w:r>
    </w:p>
    <w:p>
      <w:pPr>
        <w:pStyle w:val="6"/>
        <w:keepNext w:val="0"/>
        <w:keepLines w:val="0"/>
        <w:pageBreakBefore w:val="0"/>
        <w:widowControl w:val="0"/>
        <w:kinsoku/>
        <w:wordWrap/>
        <w:overflowPunct/>
        <w:topLinePunct w:val="0"/>
        <w:bidi w:val="0"/>
        <w:adjustRightInd/>
        <w:snapToGrid/>
        <w:spacing w:before="0" w:line="280" w:lineRule="auto"/>
        <w:ind w:right="509" w:firstLine="561"/>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1、招标人在合同协议书签署前的任何时候保留接受或不接受投标人投标文件的权利，并且无须对受影响的投标人承担任何责任。</w:t>
      </w:r>
    </w:p>
    <w:p>
      <w:pPr>
        <w:pStyle w:val="6"/>
        <w:keepNext w:val="0"/>
        <w:keepLines w:val="0"/>
        <w:pageBreakBefore w:val="0"/>
        <w:widowControl w:val="0"/>
        <w:kinsoku/>
        <w:wordWrap/>
        <w:overflowPunct/>
        <w:topLinePunct w:val="0"/>
        <w:bidi w:val="0"/>
        <w:adjustRightInd/>
        <w:snapToGrid/>
        <w:spacing w:before="0"/>
        <w:ind w:left="69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2、招标人对投标人的报价及服务条件拥有最终选择权。</w:t>
      </w:r>
    </w:p>
    <w:p>
      <w:pPr>
        <w:pStyle w:val="6"/>
        <w:keepNext w:val="0"/>
        <w:keepLines w:val="0"/>
        <w:pageBreakBefore w:val="0"/>
        <w:widowControl w:val="0"/>
        <w:kinsoku/>
        <w:wordWrap/>
        <w:overflowPunct/>
        <w:topLinePunct w:val="0"/>
        <w:bidi w:val="0"/>
        <w:adjustRightInd/>
        <w:snapToGrid/>
        <w:spacing w:before="0" w:line="392" w:lineRule="exact"/>
        <w:ind w:left="69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3、招标人对招标文件拥有最终解释权。</w:t>
      </w:r>
    </w:p>
    <w:p>
      <w:pPr>
        <w:pStyle w:val="4"/>
        <w:keepNext w:val="0"/>
        <w:keepLines w:val="0"/>
        <w:pageBreakBefore w:val="0"/>
        <w:widowControl w:val="0"/>
        <w:kinsoku/>
        <w:wordWrap/>
        <w:overflowPunct/>
        <w:topLinePunct w:val="0"/>
        <w:bidi w:val="0"/>
        <w:adjustRightInd/>
        <w:snapToGrid/>
        <w:spacing w:before="0" w:line="569"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（五）投标</w:t>
      </w:r>
    </w:p>
    <w:p>
      <w:pPr>
        <w:keepNext w:val="0"/>
        <w:keepLines w:val="0"/>
        <w:pageBreakBefore w:val="0"/>
        <w:widowControl w:val="0"/>
        <w:kinsoku/>
        <w:wordWrap/>
        <w:overflowPunct/>
        <w:topLinePunct w:val="0"/>
        <w:bidi w:val="0"/>
        <w:adjustRightInd/>
        <w:snapToGrid/>
        <w:spacing w:before="0"/>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本招标文件是本次招标的基础性文件，也是最终签署运输合同的重要组成部分，投标人必须基于投标文件内容提供投标报价及编制投标文件。</w:t>
      </w:r>
    </w:p>
    <w:p>
      <w:pPr>
        <w:pStyle w:val="4"/>
        <w:keepNext w:val="0"/>
        <w:keepLines w:val="0"/>
        <w:pageBreakBefore w:val="0"/>
        <w:widowControl w:val="0"/>
        <w:kinsoku/>
        <w:wordWrap/>
        <w:overflowPunct/>
        <w:topLinePunct w:val="0"/>
        <w:bidi w:val="0"/>
        <w:adjustRightInd/>
        <w:snapToGrid/>
        <w:spacing w:before="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（六）投标保证金</w:t>
      </w:r>
    </w:p>
    <w:p>
      <w:pPr>
        <w:pStyle w:val="6"/>
        <w:keepNext w:val="0"/>
        <w:keepLines w:val="0"/>
        <w:pageBreakBefore w:val="0"/>
        <w:widowControl w:val="0"/>
        <w:kinsoku/>
        <w:wordWrap/>
        <w:overflowPunct/>
        <w:topLinePunct w:val="0"/>
        <w:bidi w:val="0"/>
        <w:adjustRightInd/>
        <w:snapToGrid/>
        <w:spacing w:before="0" w:line="409" w:lineRule="exact"/>
        <w:ind w:left="69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投标人应按前附表要求足额、及时提交投标保证金。</w:t>
      </w:r>
    </w:p>
    <w:p>
      <w:pPr>
        <w:pStyle w:val="6"/>
        <w:keepNext w:val="0"/>
        <w:keepLines w:val="0"/>
        <w:pageBreakBefore w:val="0"/>
        <w:widowControl w:val="0"/>
        <w:kinsoku/>
        <w:wordWrap/>
        <w:overflowPunct/>
        <w:topLinePunct w:val="0"/>
        <w:bidi w:val="0"/>
        <w:adjustRightInd/>
        <w:snapToGrid/>
        <w:spacing w:before="0" w:line="280" w:lineRule="auto"/>
        <w:ind w:right="509" w:firstLine="561"/>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对于未能按要求提交投标保证金的投标文件，招标人应视为不响应招标文件而予以拒绝；</w:t>
      </w:r>
    </w:p>
    <w:p>
      <w:pPr>
        <w:pStyle w:val="6"/>
        <w:keepNext w:val="0"/>
        <w:keepLines w:val="0"/>
        <w:pageBreakBefore w:val="0"/>
        <w:widowControl w:val="0"/>
        <w:kinsoku/>
        <w:wordWrap/>
        <w:overflowPunct/>
        <w:topLinePunct w:val="0"/>
        <w:bidi w:val="0"/>
        <w:adjustRightInd/>
        <w:snapToGrid/>
        <w:spacing w:before="0" w:line="280" w:lineRule="auto"/>
        <w:ind w:right="509" w:firstLine="561"/>
        <w:jc w:val="both"/>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pacing w:val="3"/>
          <w:sz w:val="30"/>
          <w:szCs w:val="30"/>
          <w14:textFill>
            <w14:solidFill>
              <w14:schemeClr w14:val="tx1"/>
            </w14:solidFill>
          </w14:textFill>
        </w:rPr>
        <w:t>3</w:t>
      </w:r>
      <w:r>
        <w:rPr>
          <w:rFonts w:hint="eastAsia" w:ascii="仿宋_GB2312" w:hAnsi="仿宋_GB2312" w:eastAsia="仿宋_GB2312" w:cs="仿宋_GB2312"/>
          <w:color w:val="000000" w:themeColor="text1"/>
          <w:spacing w:val="3"/>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pacing w:val="-1"/>
          <w:sz w:val="30"/>
          <w:szCs w:val="30"/>
          <w14:textFill>
            <w14:solidFill>
              <w14:schemeClr w14:val="tx1"/>
            </w14:solidFill>
          </w14:textFill>
        </w:rPr>
        <w:t>未中标人的投标保证金，在开标日期后</w:t>
      </w:r>
      <w:r>
        <w:rPr>
          <w:rFonts w:hint="eastAsia" w:ascii="仿宋_GB2312" w:hAnsi="仿宋_GB2312" w:eastAsia="仿宋_GB2312" w:cs="仿宋_GB2312"/>
          <w:color w:val="000000" w:themeColor="text1"/>
          <w:spacing w:val="-1"/>
          <w:sz w:val="30"/>
          <w:szCs w:val="30"/>
          <w:lang w:val="en-US" w:eastAsia="zh-CN"/>
          <w14:textFill>
            <w14:solidFill>
              <w14:schemeClr w14:val="tx1"/>
            </w14:solidFill>
          </w14:textFill>
        </w:rPr>
        <w:t>十五</w:t>
      </w:r>
      <w:r>
        <w:rPr>
          <w:rFonts w:hint="eastAsia" w:ascii="仿宋_GB2312" w:hAnsi="仿宋_GB2312" w:eastAsia="仿宋_GB2312" w:cs="仿宋_GB2312"/>
          <w:color w:val="000000" w:themeColor="text1"/>
          <w:spacing w:val="-1"/>
          <w:sz w:val="30"/>
          <w:szCs w:val="30"/>
          <w14:textFill>
            <w14:solidFill>
              <w14:schemeClr w14:val="tx1"/>
            </w14:solidFill>
          </w14:textFill>
        </w:rPr>
        <w:t>个工作日内</w:t>
      </w:r>
      <w:r>
        <w:rPr>
          <w:rFonts w:hint="eastAsia" w:ascii="仿宋_GB2312" w:hAnsi="仿宋_GB2312" w:eastAsia="仿宋_GB2312" w:cs="仿宋_GB2312"/>
          <w:color w:val="000000" w:themeColor="text1"/>
          <w:spacing w:val="-8"/>
          <w:sz w:val="30"/>
          <w:szCs w:val="30"/>
          <w14:textFill>
            <w14:solidFill>
              <w14:schemeClr w14:val="tx1"/>
            </w14:solidFill>
          </w14:textFill>
        </w:rPr>
        <w:t>进行退还处理。</w:t>
      </w:r>
    </w:p>
    <w:p>
      <w:pPr>
        <w:pStyle w:val="6"/>
        <w:keepNext w:val="0"/>
        <w:keepLines w:val="0"/>
        <w:pageBreakBefore w:val="0"/>
        <w:widowControl w:val="0"/>
        <w:kinsoku/>
        <w:wordWrap/>
        <w:overflowPunct/>
        <w:topLinePunct w:val="0"/>
        <w:bidi w:val="0"/>
        <w:adjustRightInd/>
        <w:snapToGrid/>
        <w:spacing w:before="0" w:line="280" w:lineRule="auto"/>
        <w:ind w:right="509" w:firstLine="561"/>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中标人的投标保证金，在正式签订合同后转为合同保证金的一部分。</w:t>
      </w:r>
    </w:p>
    <w:p>
      <w:pPr>
        <w:pStyle w:val="6"/>
        <w:keepNext w:val="0"/>
        <w:keepLines w:val="0"/>
        <w:pageBreakBefore w:val="0"/>
        <w:widowControl w:val="0"/>
        <w:kinsoku/>
        <w:wordWrap/>
        <w:overflowPunct/>
        <w:topLinePunct w:val="0"/>
        <w:bidi w:val="0"/>
        <w:adjustRightInd/>
        <w:snapToGrid/>
        <w:spacing w:before="0"/>
        <w:ind w:left="69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5</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如有下列情形之一的，将不予以退还投标保证金：</w:t>
      </w:r>
    </w:p>
    <w:p>
      <w:pPr>
        <w:pStyle w:val="6"/>
        <w:keepNext w:val="0"/>
        <w:keepLines w:val="0"/>
        <w:pageBreakBefore w:val="0"/>
        <w:widowControl w:val="0"/>
        <w:kinsoku/>
        <w:wordWrap/>
        <w:overflowPunct/>
        <w:topLinePunct w:val="0"/>
        <w:bidi w:val="0"/>
        <w:adjustRightInd/>
        <w:snapToGrid/>
        <w:spacing w:before="0"/>
        <w:ind w:left="0" w:leftChars="0" w:firstLine="0" w:firstLineChars="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中标人未能在招标人规定的时间内与招标人签署运输合同或中标后弃标；</w:t>
      </w:r>
    </w:p>
    <w:p>
      <w:pPr>
        <w:pStyle w:val="10"/>
        <w:keepNext w:val="0"/>
        <w:keepLines w:val="0"/>
        <w:pageBreakBefore w:val="0"/>
        <w:widowControl w:val="0"/>
        <w:numPr>
          <w:ilvl w:val="0"/>
          <w:numId w:val="2"/>
        </w:numPr>
        <w:tabs>
          <w:tab w:val="left" w:pos="1251"/>
        </w:tabs>
        <w:kinsoku/>
        <w:wordWrap/>
        <w:overflowPunct/>
        <w:topLinePunct w:val="0"/>
        <w:bidi w:val="0"/>
        <w:adjustRightInd/>
        <w:snapToGrid/>
        <w:spacing w:before="0" w:after="0" w:line="240" w:lineRule="auto"/>
        <w:ind w:left="1250" w:right="0" w:hanging="800"/>
        <w:jc w:val="lef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投标人在投标截止日期后单方擅自对投标文件做实质性修改。</w:t>
      </w:r>
    </w:p>
    <w:p>
      <w:pPr>
        <w:pStyle w:val="10"/>
        <w:keepNext w:val="0"/>
        <w:keepLines w:val="0"/>
        <w:pageBreakBefore w:val="0"/>
        <w:widowControl w:val="0"/>
        <w:numPr>
          <w:ilvl w:val="0"/>
          <w:numId w:val="2"/>
        </w:numPr>
        <w:tabs>
          <w:tab w:val="left" w:pos="1251"/>
        </w:tabs>
        <w:kinsoku/>
        <w:wordWrap/>
        <w:overflowPunct/>
        <w:topLinePunct w:val="0"/>
        <w:bidi w:val="0"/>
        <w:adjustRightInd/>
        <w:snapToGrid/>
        <w:spacing w:before="0" w:after="0" w:line="392" w:lineRule="exact"/>
        <w:ind w:left="1250" w:right="0" w:hanging="800"/>
        <w:jc w:val="lef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未经招标人书面同意，投标人擅自透露招标文件内容。</w:t>
      </w:r>
    </w:p>
    <w:p>
      <w:pPr>
        <w:pStyle w:val="4"/>
        <w:keepNext w:val="0"/>
        <w:keepLines w:val="0"/>
        <w:pageBreakBefore w:val="0"/>
        <w:widowControl w:val="0"/>
        <w:kinsoku/>
        <w:wordWrap/>
        <w:overflowPunct/>
        <w:topLinePunct w:val="0"/>
        <w:bidi w:val="0"/>
        <w:adjustRightInd/>
        <w:snapToGrid/>
        <w:spacing w:before="0" w:line="569" w:lineRule="exact"/>
        <w:ind w:left="45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（七）投标文件的编制</w:t>
      </w:r>
    </w:p>
    <w:p>
      <w:pPr>
        <w:pStyle w:val="10"/>
        <w:keepNext w:val="0"/>
        <w:keepLines w:val="0"/>
        <w:pageBreakBefore w:val="0"/>
        <w:widowControl w:val="0"/>
        <w:numPr>
          <w:ilvl w:val="0"/>
          <w:numId w:val="0"/>
        </w:numPr>
        <w:tabs>
          <w:tab w:val="left" w:pos="1251"/>
        </w:tabs>
        <w:kinsoku/>
        <w:wordWrap/>
        <w:overflowPunct/>
        <w:topLinePunct w:val="0"/>
        <w:bidi w:val="0"/>
        <w:adjustRightInd/>
        <w:snapToGrid/>
        <w:spacing w:before="0" w:after="0" w:line="280" w:lineRule="auto"/>
        <w:ind w:left="440" w:leftChars="0" w:right="509" w:rightChars="0"/>
        <w:jc w:val="lef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z w:val="30"/>
          <w:szCs w:val="30"/>
          <w14:textFill>
            <w14:solidFill>
              <w14:schemeClr w14:val="tx1"/>
            </w14:solidFill>
          </w14:textFill>
        </w:rPr>
        <w:t>投标人必须严格按照招标文件规定的内容在网上招标平台报价。</w:t>
      </w:r>
    </w:p>
    <w:p>
      <w:pPr>
        <w:pStyle w:val="10"/>
        <w:keepNext w:val="0"/>
        <w:keepLines w:val="0"/>
        <w:pageBreakBefore w:val="0"/>
        <w:widowControl w:val="0"/>
        <w:numPr>
          <w:ilvl w:val="0"/>
          <w:numId w:val="0"/>
        </w:numPr>
        <w:tabs>
          <w:tab w:val="left" w:pos="1251"/>
        </w:tabs>
        <w:kinsoku/>
        <w:wordWrap/>
        <w:overflowPunct/>
        <w:topLinePunct w:val="0"/>
        <w:bidi w:val="0"/>
        <w:adjustRightInd/>
        <w:snapToGrid/>
        <w:spacing w:before="0" w:after="0" w:line="280" w:lineRule="auto"/>
        <w:ind w:left="440" w:leftChars="0" w:right="509" w:rightChars="0"/>
        <w:jc w:val="both"/>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color w:val="000000" w:themeColor="text1"/>
          <w:sz w:val="30"/>
          <w:szCs w:val="30"/>
          <w14:textFill>
            <w14:solidFill>
              <w14:schemeClr w14:val="tx1"/>
            </w14:solidFill>
          </w14:textFill>
        </w:rPr>
        <w:t>网上招标平台中的报价为含税价格，投标价不得超过最高限</w:t>
      </w:r>
      <w:r>
        <w:rPr>
          <w:rFonts w:hint="eastAsia" w:ascii="仿宋_GB2312" w:hAnsi="仿宋_GB2312" w:eastAsia="仿宋_GB2312" w:cs="仿宋_GB2312"/>
          <w:color w:val="000000" w:themeColor="text1"/>
          <w:spacing w:val="-14"/>
          <w:sz w:val="30"/>
          <w:szCs w:val="30"/>
          <w14:textFill>
            <w14:solidFill>
              <w14:schemeClr w14:val="tx1"/>
            </w14:solidFill>
          </w14:textFill>
        </w:rPr>
        <w:t>价，超出限价的作无效标处理。中标人结算运费时须提供正规运输发</w:t>
      </w:r>
      <w:r>
        <w:rPr>
          <w:rFonts w:hint="eastAsia" w:ascii="仿宋_GB2312" w:hAnsi="仿宋_GB2312" w:eastAsia="仿宋_GB2312" w:cs="仿宋_GB2312"/>
          <w:color w:val="000000" w:themeColor="text1"/>
          <w:spacing w:val="-15"/>
          <w:sz w:val="30"/>
          <w:szCs w:val="30"/>
          <w14:textFill>
            <w14:solidFill>
              <w14:schemeClr w14:val="tx1"/>
            </w14:solidFill>
          </w14:textFill>
        </w:rPr>
        <w:t>票。</w:t>
      </w:r>
      <w:r>
        <w:drawing>
          <wp:anchor distT="0" distB="0" distL="114300" distR="114300" simplePos="0" relativeHeight="251662336" behindDoc="0" locked="0" layoutInCell="1" allowOverlap="1">
            <wp:simplePos x="0" y="0"/>
            <wp:positionH relativeFrom="column">
              <wp:posOffset>5601335</wp:posOffset>
            </wp:positionH>
            <wp:positionV relativeFrom="paragraph">
              <wp:posOffset>-547370</wp:posOffset>
            </wp:positionV>
            <wp:extent cx="646430" cy="431800"/>
            <wp:effectExtent l="0" t="0" r="1270" b="6350"/>
            <wp:wrapSquare wrapText="bothSides"/>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646430" cy="431800"/>
                    </a:xfrm>
                    <a:prstGeom prst="rect">
                      <a:avLst/>
                    </a:prstGeom>
                  </pic:spPr>
                </pic:pic>
              </a:graphicData>
            </a:graphic>
          </wp:anchor>
        </w:drawing>
      </w:r>
    </w:p>
    <w:p>
      <w:pPr>
        <w:pStyle w:val="10"/>
        <w:keepNext w:val="0"/>
        <w:keepLines w:val="0"/>
        <w:pageBreakBefore w:val="0"/>
        <w:widowControl w:val="0"/>
        <w:numPr>
          <w:ilvl w:val="-1"/>
          <w:numId w:val="0"/>
        </w:numPr>
        <w:tabs>
          <w:tab w:val="left" w:pos="1251"/>
        </w:tabs>
        <w:kinsoku/>
        <w:wordWrap/>
        <w:overflowPunct/>
        <w:topLinePunct w:val="0"/>
        <w:bidi w:val="0"/>
        <w:adjustRightInd/>
        <w:snapToGrid/>
        <w:spacing w:before="0" w:line="240" w:lineRule="auto"/>
        <w:ind w:left="0"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r>
        <w:rPr>
          <w:rFonts w:hint="eastAsia" w:ascii="仿宋_GB2312" w:hAnsi="仿宋_GB2312" w:eastAsia="仿宋_GB2312" w:cs="仿宋_GB2312"/>
          <w:color w:val="000000" w:themeColor="text1"/>
          <w:sz w:val="30"/>
          <w:szCs w:val="30"/>
          <w14:textFill>
            <w14:solidFill>
              <w14:schemeClr w14:val="tx1"/>
            </w14:solidFill>
          </w14:textFill>
        </w:rPr>
        <w:t>未签订《投标承诺书》，投标视为无效，《投标承诺书》</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需盖章扫描上传至招投标平台。</w:t>
      </w:r>
    </w:p>
    <w:p>
      <w:pPr>
        <w:pStyle w:val="4"/>
        <w:keepNext w:val="0"/>
        <w:keepLines w:val="0"/>
        <w:pageBreakBefore w:val="0"/>
        <w:widowControl w:val="0"/>
        <w:kinsoku/>
        <w:wordWrap/>
        <w:overflowPunct/>
        <w:topLinePunct w:val="0"/>
        <w:bidi w:val="0"/>
        <w:adjustRightInd/>
        <w:snapToGrid/>
        <w:spacing w:before="0" w:line="569" w:lineRule="exact"/>
        <w:ind w:left="45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（八）开标</w:t>
      </w:r>
    </w:p>
    <w:p>
      <w:pPr>
        <w:pStyle w:val="6"/>
        <w:keepNext w:val="0"/>
        <w:keepLines w:val="0"/>
        <w:pageBreakBefore w:val="0"/>
        <w:widowControl w:val="0"/>
        <w:kinsoku/>
        <w:wordWrap/>
        <w:overflowPunct/>
        <w:topLinePunct w:val="0"/>
        <w:bidi w:val="0"/>
        <w:adjustRightInd/>
        <w:snapToGrid/>
        <w:spacing w:before="0" w:line="280" w:lineRule="auto"/>
        <w:ind w:right="509" w:firstLine="42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1.按照开标时间计划，招标人将组织线下会议对本次招标活动进行现场开标，按</w:t>
      </w:r>
      <w:r>
        <w:rPr>
          <w:rFonts w:hint="eastAsia" w:ascii="仿宋_GB2312" w:hAnsi="仿宋_GB2312" w:eastAsia="仿宋_GB2312" w:cs="仿宋_GB2312"/>
          <w:color w:val="000000" w:themeColor="text1"/>
          <w:sz w:val="30"/>
          <w:szCs w:val="30"/>
          <w:lang w:eastAsia="zh-CN"/>
          <w14:textFill>
            <w14:solidFill>
              <w14:schemeClr w14:val="tx1"/>
            </w14:solidFill>
          </w14:textFill>
        </w:rPr>
        <w:t>《投标须知》规定已经拒绝的投标文件不在此列。</w:t>
      </w:r>
    </w:p>
    <w:p>
      <w:pPr>
        <w:pStyle w:val="6"/>
        <w:keepNext w:val="0"/>
        <w:keepLines w:val="0"/>
        <w:pageBreakBefore w:val="0"/>
        <w:widowControl w:val="0"/>
        <w:kinsoku/>
        <w:wordWrap/>
        <w:overflowPunct/>
        <w:topLinePunct w:val="0"/>
        <w:bidi w:val="0"/>
        <w:adjustRightInd/>
        <w:snapToGrid/>
        <w:spacing w:before="0" w:line="280" w:lineRule="auto"/>
        <w:ind w:right="415" w:firstLine="42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招标人的工作人员与监督人员当场对开标会议进行全程监督， 如投标文件未符合招标文件中规定的要求，则视为废标；</w:t>
      </w:r>
    </w:p>
    <w:p>
      <w:pPr>
        <w:pStyle w:val="6"/>
        <w:keepNext w:val="0"/>
        <w:keepLines w:val="0"/>
        <w:pageBreakBefore w:val="0"/>
        <w:widowControl w:val="0"/>
        <w:kinsoku/>
        <w:wordWrap/>
        <w:overflowPunct/>
        <w:topLinePunct w:val="0"/>
        <w:bidi w:val="0"/>
        <w:adjustRightInd/>
        <w:snapToGrid/>
        <w:spacing w:before="0"/>
        <w:ind w:left="548"/>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发生下列情况之一者，视为无效投标：</w:t>
      </w:r>
    </w:p>
    <w:p>
      <w:pPr>
        <w:pStyle w:val="10"/>
        <w:keepNext w:val="0"/>
        <w:keepLines w:val="0"/>
        <w:pageBreakBefore w:val="0"/>
        <w:widowControl w:val="0"/>
        <w:numPr>
          <w:ilvl w:val="0"/>
          <w:numId w:val="3"/>
        </w:numPr>
        <w:tabs>
          <w:tab w:val="left" w:pos="1251"/>
        </w:tabs>
        <w:kinsoku/>
        <w:wordWrap/>
        <w:overflowPunct/>
        <w:topLinePunct w:val="0"/>
        <w:bidi w:val="0"/>
        <w:adjustRightInd/>
        <w:snapToGrid/>
        <w:spacing w:before="0" w:after="0" w:line="240" w:lineRule="auto"/>
        <w:ind w:left="1250" w:right="0" w:hanging="800"/>
        <w:jc w:val="lef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投标承诺书未按规定加盖公章和签字。</w:t>
      </w:r>
    </w:p>
    <w:p>
      <w:pPr>
        <w:pStyle w:val="10"/>
        <w:keepNext w:val="0"/>
        <w:keepLines w:val="0"/>
        <w:pageBreakBefore w:val="0"/>
        <w:widowControl w:val="0"/>
        <w:numPr>
          <w:ilvl w:val="0"/>
          <w:numId w:val="3"/>
        </w:numPr>
        <w:tabs>
          <w:tab w:val="left" w:pos="1251"/>
        </w:tabs>
        <w:kinsoku/>
        <w:wordWrap/>
        <w:overflowPunct/>
        <w:topLinePunct w:val="0"/>
        <w:bidi w:val="0"/>
        <w:adjustRightInd/>
        <w:snapToGrid/>
        <w:spacing w:before="0" w:after="0" w:line="280" w:lineRule="auto"/>
        <w:ind w:left="128" w:right="509" w:firstLine="322"/>
        <w:jc w:val="lef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投标文件未按规定格式、内容填写或投标文件内容与招标文件有严重背离。</w:t>
      </w:r>
    </w:p>
    <w:p>
      <w:pPr>
        <w:pStyle w:val="10"/>
        <w:keepNext w:val="0"/>
        <w:keepLines w:val="0"/>
        <w:pageBreakBefore w:val="0"/>
        <w:widowControl w:val="0"/>
        <w:numPr>
          <w:ilvl w:val="0"/>
          <w:numId w:val="3"/>
        </w:numPr>
        <w:tabs>
          <w:tab w:val="left" w:pos="1251"/>
        </w:tabs>
        <w:kinsoku/>
        <w:wordWrap/>
        <w:overflowPunct/>
        <w:topLinePunct w:val="0"/>
        <w:bidi w:val="0"/>
        <w:adjustRightInd/>
        <w:snapToGrid/>
        <w:spacing w:before="0" w:after="0" w:line="240" w:lineRule="auto"/>
        <w:ind w:left="1250" w:right="0" w:hanging="800"/>
        <w:jc w:val="lef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未按规定及时足额交纳投标保证金的。</w:t>
      </w:r>
    </w:p>
    <w:p>
      <w:pPr>
        <w:pStyle w:val="6"/>
        <w:keepNext w:val="0"/>
        <w:keepLines w:val="0"/>
        <w:pageBreakBefore w:val="0"/>
        <w:widowControl w:val="0"/>
        <w:kinsoku/>
        <w:wordWrap/>
        <w:overflowPunct/>
        <w:topLinePunct w:val="0"/>
        <w:bidi w:val="0"/>
        <w:adjustRightInd/>
        <w:snapToGrid/>
        <w:spacing w:before="0"/>
        <w:ind w:left="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其他不符合招标文件要求的投标。</w:t>
      </w:r>
    </w:p>
    <w:p>
      <w:pPr>
        <w:pStyle w:val="4"/>
        <w:keepNext w:val="0"/>
        <w:keepLines w:val="0"/>
        <w:pageBreakBefore w:val="0"/>
        <w:widowControl w:val="0"/>
        <w:kinsoku/>
        <w:wordWrap/>
        <w:overflowPunct/>
        <w:topLinePunct w:val="0"/>
        <w:bidi w:val="0"/>
        <w:adjustRightInd/>
        <w:snapToGrid/>
        <w:spacing w:before="0" w:line="483" w:lineRule="exact"/>
        <w:ind w:left="0" w:firstLine="602"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（九）评标</w:t>
      </w:r>
    </w:p>
    <w:p>
      <w:pPr>
        <w:keepNext w:val="0"/>
        <w:keepLines w:val="0"/>
        <w:pageBreakBefore w:val="0"/>
        <w:widowControl w:val="0"/>
        <w:kinsoku/>
        <w:wordWrap/>
        <w:overflowPunct/>
        <w:topLinePunct w:val="0"/>
        <w:bidi w:val="0"/>
        <w:adjustRightInd/>
        <w:snapToGrid/>
        <w:spacing w:before="0" w:line="533" w:lineRule="exact"/>
        <w:ind w:left="690" w:right="0" w:firstLine="0"/>
        <w:jc w:val="left"/>
        <w:textAlignment w:val="auto"/>
        <w:rPr>
          <w:rFonts w:hint="eastAsia"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b/>
          <w:color w:val="000000" w:themeColor="text1"/>
          <w:sz w:val="30"/>
          <w:szCs w:val="30"/>
          <w14:textFill>
            <w14:solidFill>
              <w14:schemeClr w14:val="tx1"/>
            </w14:solidFill>
          </w14:textFill>
        </w:rPr>
        <w:t>1</w:t>
      </w:r>
      <w:r>
        <w:rPr>
          <w:rFonts w:hint="eastAsia" w:ascii="仿宋_GB2312" w:hAnsi="仿宋_GB2312" w:eastAsia="仿宋_GB2312" w:cs="仿宋_GB2312"/>
          <w:b/>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b/>
          <w:color w:val="000000" w:themeColor="text1"/>
          <w:sz w:val="30"/>
          <w:szCs w:val="30"/>
          <w14:textFill>
            <w14:solidFill>
              <w14:schemeClr w14:val="tx1"/>
            </w14:solidFill>
          </w14:textFill>
        </w:rPr>
        <w:t>评标过程的纪律</w:t>
      </w:r>
    </w:p>
    <w:p>
      <w:pPr>
        <w:pStyle w:val="10"/>
        <w:keepNext w:val="0"/>
        <w:keepLines w:val="0"/>
        <w:pageBreakBefore w:val="0"/>
        <w:widowControl w:val="0"/>
        <w:numPr>
          <w:ilvl w:val="-1"/>
          <w:numId w:val="0"/>
        </w:numPr>
        <w:tabs>
          <w:tab w:val="left" w:pos="1251"/>
        </w:tabs>
        <w:kinsoku/>
        <w:wordWrap/>
        <w:overflowPunct/>
        <w:topLinePunct w:val="0"/>
        <w:bidi w:val="0"/>
        <w:adjustRightInd/>
        <w:snapToGrid/>
        <w:spacing w:before="0" w:after="0" w:line="281" w:lineRule="auto"/>
        <w:ind w:left="0" w:right="348" w:firstLine="580" w:firstLineChars="200"/>
        <w:jc w:val="lef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pacing w:val="-5"/>
          <w:sz w:val="30"/>
          <w:szCs w:val="30"/>
          <w:lang w:eastAsia="zh-CN"/>
          <w14:textFill>
            <w14:solidFill>
              <w14:schemeClr w14:val="tx1"/>
            </w14:solidFill>
          </w14:textFill>
        </w:rPr>
        <w:t>（</w:t>
      </w:r>
      <w:r>
        <w:rPr>
          <w:rFonts w:hint="eastAsia" w:ascii="仿宋_GB2312" w:hAnsi="仿宋_GB2312" w:eastAsia="仿宋_GB2312" w:cs="仿宋_GB2312"/>
          <w:color w:val="000000" w:themeColor="text1"/>
          <w:spacing w:val="-5"/>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pacing w:val="-5"/>
          <w:sz w:val="30"/>
          <w:szCs w:val="30"/>
          <w:lang w:eastAsia="zh-CN"/>
          <w14:textFill>
            <w14:solidFill>
              <w14:schemeClr w14:val="tx1"/>
            </w14:solidFill>
          </w14:textFill>
        </w:rPr>
        <w:t>）</w:t>
      </w:r>
      <w:r>
        <w:rPr>
          <w:rFonts w:hint="eastAsia" w:ascii="仿宋_GB2312" w:hAnsi="仿宋_GB2312" w:eastAsia="仿宋_GB2312" w:cs="仿宋_GB2312"/>
          <w:color w:val="000000" w:themeColor="text1"/>
          <w:spacing w:val="-5"/>
          <w:sz w:val="30"/>
          <w:szCs w:val="30"/>
          <w14:textFill>
            <w14:solidFill>
              <w14:schemeClr w14:val="tx1"/>
            </w14:solidFill>
          </w14:textFill>
        </w:rPr>
        <w:t>从投标截止日期至授予运输合同时止，有关投标文件的审查</w:t>
      </w:r>
      <w:r>
        <w:rPr>
          <w:rFonts w:hint="eastAsia" w:ascii="仿宋_GB2312" w:hAnsi="仿宋_GB2312" w:eastAsia="仿宋_GB2312" w:cs="仿宋_GB2312"/>
          <w:color w:val="000000" w:themeColor="text1"/>
          <w:spacing w:val="-14"/>
          <w:sz w:val="30"/>
          <w:szCs w:val="30"/>
          <w14:textFill>
            <w14:solidFill>
              <w14:schemeClr w14:val="tx1"/>
            </w14:solidFill>
          </w14:textFill>
        </w:rPr>
        <w:t>、答疑、澄清、评价、谈判以及有关授予合同的意向等一切情况，不得透露给投标人或与上述工作无关的任何单位和个人。</w:t>
      </w:r>
    </w:p>
    <w:p>
      <w:pPr>
        <w:pStyle w:val="10"/>
        <w:keepNext w:val="0"/>
        <w:keepLines w:val="0"/>
        <w:pageBreakBefore w:val="0"/>
        <w:widowControl w:val="0"/>
        <w:numPr>
          <w:ilvl w:val="-1"/>
          <w:numId w:val="0"/>
        </w:numPr>
        <w:tabs>
          <w:tab w:val="left" w:pos="1251"/>
        </w:tabs>
        <w:kinsoku/>
        <w:wordWrap/>
        <w:overflowPunct/>
        <w:topLinePunct w:val="0"/>
        <w:bidi w:val="0"/>
        <w:adjustRightInd/>
        <w:snapToGrid/>
        <w:spacing w:before="0" w:after="0" w:line="281" w:lineRule="auto"/>
        <w:ind w:left="0" w:right="509" w:firstLine="600" w:firstLineChars="200"/>
        <w:jc w:val="lef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严禁投标人在投标过程中采用任何手段进行串标、贿赂和其他被视为违反招、投标纪律的行为，如经发现均取消其投标资格。</w:t>
      </w:r>
    </w:p>
    <w:p>
      <w:pPr>
        <w:pStyle w:val="10"/>
        <w:keepNext w:val="0"/>
        <w:keepLines w:val="0"/>
        <w:pageBreakBefore w:val="0"/>
        <w:widowControl w:val="0"/>
        <w:numPr>
          <w:ilvl w:val="-1"/>
          <w:numId w:val="0"/>
        </w:numPr>
        <w:tabs>
          <w:tab w:val="left" w:pos="1251"/>
        </w:tabs>
        <w:kinsoku/>
        <w:wordWrap/>
        <w:overflowPunct/>
        <w:topLinePunct w:val="0"/>
        <w:bidi w:val="0"/>
        <w:adjustRightInd/>
        <w:snapToGrid/>
        <w:spacing w:before="0" w:after="0" w:line="281" w:lineRule="auto"/>
        <w:ind w:left="0" w:right="506" w:firstLine="600" w:firstLineChars="200"/>
        <w:jc w:val="both"/>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在投标过程中的审查、答疑、评价和比较，以及授予合同的</w:t>
      </w:r>
      <w:r>
        <w:rPr>
          <w:rFonts w:hint="eastAsia" w:ascii="仿宋_GB2312" w:hAnsi="仿宋_GB2312" w:eastAsia="仿宋_GB2312" w:cs="仿宋_GB2312"/>
          <w:color w:val="000000" w:themeColor="text1"/>
          <w:spacing w:val="-14"/>
          <w:sz w:val="30"/>
          <w:szCs w:val="30"/>
          <w14:textFill>
            <w14:solidFill>
              <w14:schemeClr w14:val="tx1"/>
            </w14:solidFill>
          </w14:textFill>
        </w:rPr>
        <w:t>过程中，投标人对招标人和招标人成员直接或间接施加影响的任何干扰行为，都将导致取消投标资格。投标人违反招、投标纪律，其投标将被废除。</w:t>
      </w:r>
    </w:p>
    <w:p>
      <w:pPr>
        <w:pStyle w:val="4"/>
        <w:keepNext w:val="0"/>
        <w:keepLines w:val="0"/>
        <w:pageBreakBefore w:val="0"/>
        <w:widowControl w:val="0"/>
        <w:kinsoku/>
        <w:wordWrap/>
        <w:overflowPunct/>
        <w:topLinePunct w:val="0"/>
        <w:bidi w:val="0"/>
        <w:adjustRightInd/>
        <w:snapToGrid/>
        <w:spacing w:before="0" w:line="483"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评标因素</w:t>
      </w:r>
    </w:p>
    <w:p>
      <w:pPr>
        <w:pStyle w:val="6"/>
        <w:keepNext w:val="0"/>
        <w:keepLines w:val="0"/>
        <w:pageBreakBefore w:val="0"/>
        <w:widowControl w:val="0"/>
        <w:kinsoku/>
        <w:wordWrap/>
        <w:overflowPunct/>
        <w:topLinePunct w:val="0"/>
        <w:bidi w:val="0"/>
        <w:adjustRightInd/>
        <w:snapToGrid/>
        <w:spacing w:before="0" w:line="280" w:lineRule="auto"/>
        <w:ind w:right="348" w:firstLine="561"/>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评标因素包括但不限于运输合同条款的接受程度、抗风险能力、</w:t>
      </w:r>
      <w:r>
        <w:rPr>
          <w:rFonts w:hint="eastAsia" w:ascii="仿宋_GB2312" w:hAnsi="仿宋_GB2312" w:eastAsia="仿宋_GB2312" w:cs="仿宋_GB2312"/>
          <w:color w:val="000000" w:themeColor="text1"/>
          <w:spacing w:val="-20"/>
          <w:sz w:val="30"/>
          <w:szCs w:val="30"/>
          <w14:textFill>
            <w14:solidFill>
              <w14:schemeClr w14:val="tx1"/>
            </w14:solidFill>
          </w14:textFill>
        </w:rPr>
        <w:t>投标价格、服务承诺、损耗管理、</w:t>
      </w:r>
      <w:r>
        <w:rPr>
          <w:rFonts w:hint="eastAsia" w:ascii="仿宋_GB2312" w:hAnsi="仿宋_GB2312" w:eastAsia="仿宋_GB2312" w:cs="仿宋_GB2312"/>
          <w:color w:val="000000" w:themeColor="text1"/>
          <w:spacing w:val="-20"/>
          <w:sz w:val="30"/>
          <w:szCs w:val="30"/>
          <w:lang w:val="en-US" w:eastAsia="zh-CN"/>
          <w14:textFill>
            <w14:solidFill>
              <w14:schemeClr w14:val="tx1"/>
            </w14:solidFill>
          </w14:textFill>
        </w:rPr>
        <w:t>运输车辆匹配</w:t>
      </w:r>
      <w:r>
        <w:rPr>
          <w:rFonts w:hint="eastAsia" w:ascii="仿宋_GB2312" w:hAnsi="仿宋_GB2312" w:eastAsia="仿宋_GB2312" w:cs="仿宋_GB2312"/>
          <w:color w:val="000000" w:themeColor="text1"/>
          <w:spacing w:val="-20"/>
          <w:sz w:val="30"/>
          <w:szCs w:val="30"/>
          <w14:textFill>
            <w14:solidFill>
              <w14:schemeClr w14:val="tx1"/>
            </w14:solidFill>
          </w14:textFill>
        </w:rPr>
        <w:t>程度及其他优惠条件等。</w:t>
      </w:r>
    </w:p>
    <w:p>
      <w:pPr>
        <w:pStyle w:val="4"/>
        <w:keepNext w:val="0"/>
        <w:keepLines w:val="0"/>
        <w:pageBreakBefore w:val="0"/>
        <w:widowControl w:val="0"/>
        <w:kinsoku/>
        <w:wordWrap/>
        <w:overflowPunct/>
        <w:topLinePunct w:val="0"/>
        <w:bidi w:val="0"/>
        <w:adjustRightInd/>
        <w:snapToGrid/>
        <w:spacing w:before="0"/>
        <w:ind w:left="45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（十）中标</w:t>
      </w:r>
    </w:p>
    <w:p>
      <w:pPr>
        <w:pStyle w:val="6"/>
        <w:keepNext w:val="0"/>
        <w:keepLines w:val="0"/>
        <w:pageBreakBefore w:val="0"/>
        <w:widowControl w:val="0"/>
        <w:kinsoku/>
        <w:wordWrap/>
        <w:overflowPunct/>
        <w:topLinePunct w:val="0"/>
        <w:bidi w:val="0"/>
        <w:adjustRightInd/>
        <w:snapToGrid/>
        <w:spacing w:before="0" w:line="280" w:lineRule="auto"/>
        <w:ind w:right="509" w:firstLine="561"/>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1</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招标人根据各投标人的投标文件及综合评标最终结果，确定中标人。</w:t>
      </w:r>
    </w:p>
    <w:p>
      <w:pPr>
        <w:pStyle w:val="6"/>
        <w:keepNext w:val="0"/>
        <w:keepLines w:val="0"/>
        <w:pageBreakBefore w:val="0"/>
        <w:widowControl w:val="0"/>
        <w:kinsoku/>
        <w:wordWrap/>
        <w:overflowPunct/>
        <w:topLinePunct w:val="0"/>
        <w:bidi w:val="0"/>
        <w:adjustRightInd/>
        <w:snapToGrid/>
        <w:spacing w:before="0" w:line="280" w:lineRule="auto"/>
        <w:ind w:right="504" w:firstLine="561"/>
        <w:jc w:val="both"/>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pacing w:val="-20"/>
          <w:sz w:val="30"/>
          <w:szCs w:val="30"/>
          <w14:textFill>
            <w14:solidFill>
              <w14:schemeClr w14:val="tx1"/>
            </w14:solidFill>
          </w14:textFill>
        </w:rPr>
        <w:t>投标单位自有车辆必</w:t>
      </w:r>
      <w:r>
        <w:rPr>
          <w:rFonts w:hint="eastAsia" w:ascii="仿宋_GB2312" w:hAnsi="仿宋_GB2312" w:eastAsia="仿宋_GB2312" w:cs="仿宋_GB2312"/>
          <w:color w:val="000000" w:themeColor="text1"/>
          <w:spacing w:val="-21"/>
          <w:sz w:val="30"/>
          <w:szCs w:val="30"/>
          <w14:textFill>
            <w14:solidFill>
              <w14:schemeClr w14:val="tx1"/>
            </w14:solidFill>
          </w14:textFill>
        </w:rPr>
        <w:t>须满足</w:t>
      </w:r>
      <w:r>
        <w:rPr>
          <w:rFonts w:hint="eastAsia" w:ascii="仿宋_GB2312" w:hAnsi="仿宋_GB2312" w:eastAsia="仿宋_GB2312" w:cs="仿宋_GB2312"/>
          <w:color w:val="000000" w:themeColor="text1"/>
          <w:spacing w:val="-21"/>
          <w:sz w:val="30"/>
          <w:szCs w:val="30"/>
          <w:lang w:val="en-US" w:eastAsia="zh-CN"/>
          <w14:textFill>
            <w14:solidFill>
              <w14:schemeClr w14:val="tx1"/>
            </w14:solidFill>
          </w14:textFill>
        </w:rPr>
        <w:t>我方</w:t>
      </w:r>
      <w:r>
        <w:rPr>
          <w:rFonts w:hint="eastAsia" w:ascii="仿宋_GB2312" w:hAnsi="仿宋_GB2312" w:eastAsia="仿宋_GB2312" w:cs="仿宋_GB2312"/>
          <w:color w:val="000000" w:themeColor="text1"/>
          <w:spacing w:val="-21"/>
          <w:sz w:val="30"/>
          <w:szCs w:val="30"/>
          <w14:textFill>
            <w14:solidFill>
              <w14:schemeClr w14:val="tx1"/>
            </w14:solidFill>
          </w14:textFill>
        </w:rPr>
        <w:t>所需的数量，</w:t>
      </w:r>
      <w:r>
        <w:rPr>
          <w:rFonts w:hint="eastAsia" w:ascii="仿宋_GB2312" w:hAnsi="仿宋_GB2312" w:eastAsia="仿宋_GB2312" w:cs="仿宋_GB2312"/>
          <w:color w:val="000000" w:themeColor="text1"/>
          <w:spacing w:val="-21"/>
          <w:sz w:val="30"/>
          <w:szCs w:val="30"/>
          <w:lang w:val="en-US" w:eastAsia="zh-CN"/>
          <w14:textFill>
            <w14:solidFill>
              <w14:schemeClr w14:val="tx1"/>
            </w14:solidFill>
          </w14:textFill>
        </w:rPr>
        <w:t>严禁将运输业务委托或转包给第三方。</w:t>
      </w:r>
      <w:r>
        <w:rPr>
          <w:rFonts w:hint="eastAsia" w:ascii="仿宋_GB2312" w:hAnsi="仿宋_GB2312" w:eastAsia="仿宋_GB2312" w:cs="仿宋_GB2312"/>
          <w:color w:val="000000" w:themeColor="text1"/>
          <w:spacing w:val="-21"/>
          <w:sz w:val="30"/>
          <w:szCs w:val="30"/>
          <w14:textFill>
            <w14:solidFill>
              <w14:schemeClr w14:val="tx1"/>
            </w14:solidFill>
          </w14:textFill>
        </w:rPr>
        <w:t>在合同执行过程中车辆需求数量会随公</w:t>
      </w:r>
      <w:r>
        <w:rPr>
          <w:rFonts w:hint="eastAsia" w:ascii="仿宋_GB2312" w:hAnsi="仿宋_GB2312" w:eastAsia="仿宋_GB2312" w:cs="仿宋_GB2312"/>
          <w:color w:val="000000" w:themeColor="text1"/>
          <w:spacing w:val="-18"/>
          <w:sz w:val="30"/>
          <w:szCs w:val="30"/>
          <w14:textFill>
            <w14:solidFill>
              <w14:schemeClr w14:val="tx1"/>
            </w14:solidFill>
          </w14:textFill>
        </w:rPr>
        <w:t>司经营而变动，投标方在合同执行</w:t>
      </w:r>
      <w:r>
        <w:drawing>
          <wp:anchor distT="0" distB="0" distL="114300" distR="114300" simplePos="0" relativeHeight="251663360" behindDoc="0" locked="0" layoutInCell="1" allowOverlap="1">
            <wp:simplePos x="0" y="0"/>
            <wp:positionH relativeFrom="column">
              <wp:posOffset>5601335</wp:posOffset>
            </wp:positionH>
            <wp:positionV relativeFrom="paragraph">
              <wp:posOffset>-547370</wp:posOffset>
            </wp:positionV>
            <wp:extent cx="646430" cy="431800"/>
            <wp:effectExtent l="0" t="0" r="1270" b="6350"/>
            <wp:wrapSquare wrapText="bothSides"/>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646430" cy="431800"/>
                    </a:xfrm>
                    <a:prstGeom prst="rect">
                      <a:avLst/>
                    </a:prstGeom>
                  </pic:spPr>
                </pic:pic>
              </a:graphicData>
            </a:graphic>
          </wp:anchor>
        </w:drawing>
      </w:r>
      <w:r>
        <w:rPr>
          <w:rFonts w:hint="eastAsia" w:ascii="仿宋_GB2312" w:hAnsi="仿宋_GB2312" w:eastAsia="仿宋_GB2312" w:cs="仿宋_GB2312"/>
          <w:color w:val="000000" w:themeColor="text1"/>
          <w:spacing w:val="-18"/>
          <w:sz w:val="30"/>
          <w:szCs w:val="30"/>
          <w14:textFill>
            <w14:solidFill>
              <w14:schemeClr w14:val="tx1"/>
            </w14:solidFill>
          </w14:textFill>
        </w:rPr>
        <w:t>期间须根据变动配置充足运力保证招标方正常运输。</w:t>
      </w:r>
    </w:p>
    <w:p>
      <w:pPr>
        <w:pStyle w:val="6"/>
        <w:keepNext w:val="0"/>
        <w:keepLines w:val="0"/>
        <w:pageBreakBefore w:val="0"/>
        <w:widowControl w:val="0"/>
        <w:kinsoku/>
        <w:wordWrap/>
        <w:overflowPunct/>
        <w:topLinePunct w:val="0"/>
        <w:bidi w:val="0"/>
        <w:adjustRightInd/>
        <w:snapToGrid/>
        <w:spacing w:before="0" w:line="280" w:lineRule="auto"/>
        <w:ind w:right="509" w:firstLine="561"/>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招标人将以招标系统发送短信的形式通知开标情况，具体中标情况以招标系统显示或电话通知为准。</w:t>
      </w:r>
    </w:p>
    <w:p>
      <w:pPr>
        <w:pStyle w:val="6"/>
        <w:keepNext w:val="0"/>
        <w:keepLines w:val="0"/>
        <w:pageBreakBefore w:val="0"/>
        <w:widowControl w:val="0"/>
        <w:kinsoku/>
        <w:wordWrap/>
        <w:overflowPunct/>
        <w:topLinePunct w:val="0"/>
        <w:bidi w:val="0"/>
        <w:adjustRightInd/>
        <w:snapToGrid/>
        <w:spacing w:before="0" w:line="281" w:lineRule="auto"/>
        <w:ind w:left="0" w:right="510"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4</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中标承运商须在合同开始执行前五天派车辆和人员到相应分公司对接车辆验车、洗消和合同交接等相关事宜。</w:t>
      </w:r>
    </w:p>
    <w:p>
      <w:pPr>
        <w:pStyle w:val="4"/>
        <w:keepNext w:val="0"/>
        <w:keepLines w:val="0"/>
        <w:pageBreakBefore w:val="0"/>
        <w:widowControl w:val="0"/>
        <w:kinsoku/>
        <w:wordWrap/>
        <w:overflowPunct/>
        <w:topLinePunct w:val="0"/>
        <w:bidi w:val="0"/>
        <w:adjustRightInd/>
        <w:snapToGrid/>
        <w:spacing w:before="0"/>
        <w:ind w:left="45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（十一）最终合同的签署</w:t>
      </w:r>
    </w:p>
    <w:p>
      <w:pPr>
        <w:keepNext w:val="0"/>
        <w:keepLines w:val="0"/>
        <w:pageBreakBefore w:val="0"/>
        <w:widowControl w:val="0"/>
        <w:kinsoku/>
        <w:wordWrap/>
        <w:overflowPunct/>
        <w:topLinePunct w:val="0"/>
        <w:autoSpaceDE/>
        <w:autoSpaceDN/>
        <w:bidi w:val="0"/>
        <w:adjustRightInd/>
        <w:snapToGrid/>
        <w:spacing w:before="0" w:line="52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1.</w:t>
      </w:r>
      <w:r>
        <w:rPr>
          <w:rFonts w:hint="eastAsia" w:ascii="仿宋_GB2312" w:hAnsi="仿宋_GB2312" w:eastAsia="仿宋_GB2312" w:cs="仿宋_GB2312"/>
          <w:color w:val="000000" w:themeColor="text1"/>
          <w:sz w:val="30"/>
          <w:szCs w:val="30"/>
          <w14:textFill>
            <w14:solidFill>
              <w14:schemeClr w14:val="tx1"/>
            </w14:solidFill>
          </w14:textFill>
        </w:rPr>
        <w:t>中标方收到《中标通知书》后，按《中标通知书》中规定的时间、方式与招标方签订运输合同</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color w:val="000000" w:themeColor="text1"/>
          <w:sz w:val="30"/>
          <w:szCs w:val="30"/>
          <w14:textFill>
            <w14:solidFill>
              <w14:schemeClr w14:val="tx1"/>
            </w14:solidFill>
          </w14:textFill>
        </w:rPr>
        <w:t>运输合同要求投标方、合同签订方、发票开具方和收款方</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四者一致</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line="520" w:lineRule="exact"/>
        <w:ind w:firstLine="600" w:firstLineChars="20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color w:val="000000" w:themeColor="text1"/>
          <w:sz w:val="30"/>
          <w:szCs w:val="30"/>
          <w:lang w:eastAsia="zh-CN"/>
          <w14:textFill>
            <w14:solidFill>
              <w14:schemeClr w14:val="tx1"/>
            </w14:solidFill>
          </w14:textFill>
        </w:rPr>
        <w:t>如中标方签定合同后违约，招标方组织重新招标。</w:t>
      </w:r>
    </w:p>
    <w:p>
      <w:pPr>
        <w:keepNext w:val="0"/>
        <w:keepLines w:val="0"/>
        <w:pageBreakBefore w:val="0"/>
        <w:widowControl w:val="0"/>
        <w:kinsoku/>
        <w:wordWrap/>
        <w:overflowPunct/>
        <w:topLinePunct w:val="0"/>
        <w:autoSpaceDE/>
        <w:autoSpaceDN/>
        <w:bidi w:val="0"/>
        <w:adjustRightInd/>
        <w:snapToGrid/>
        <w:spacing w:before="0" w:line="520" w:lineRule="exact"/>
        <w:ind w:firstLine="600" w:firstLineChars="200"/>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r>
        <w:rPr>
          <w:rFonts w:hint="eastAsia" w:ascii="仿宋_GB2312" w:hAnsi="仿宋_GB2312" w:eastAsia="仿宋_GB2312" w:cs="仿宋_GB2312"/>
          <w:color w:val="000000" w:themeColor="text1"/>
          <w:sz w:val="30"/>
          <w:szCs w:val="30"/>
          <w14:textFill>
            <w14:solidFill>
              <w14:schemeClr w14:val="tx1"/>
            </w14:solidFill>
          </w14:textFill>
        </w:rPr>
        <w:t>如本文件中所述内容存在与《</w:t>
      </w:r>
      <w:r>
        <w:rPr>
          <w:rFonts w:hint="eastAsia" w:ascii="仿宋_GB2312" w:hAnsi="仿宋_GB2312" w:eastAsia="仿宋_GB2312" w:cs="仿宋_GB2312"/>
          <w:color w:val="000000" w:themeColor="text1"/>
          <w:sz w:val="30"/>
          <w:szCs w:val="30"/>
          <w:lang w:eastAsia="zh-CN"/>
          <w14:textFill>
            <w14:solidFill>
              <w14:schemeClr w14:val="tx1"/>
            </w14:solidFill>
          </w14:textFill>
        </w:rPr>
        <w:t>运输</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合同</w:t>
      </w:r>
      <w:r>
        <w:rPr>
          <w:rFonts w:hint="eastAsia" w:ascii="仿宋_GB2312" w:hAnsi="仿宋_GB2312" w:eastAsia="仿宋_GB2312" w:cs="仿宋_GB2312"/>
          <w:color w:val="000000" w:themeColor="text1"/>
          <w:sz w:val="30"/>
          <w:szCs w:val="30"/>
          <w14:textFill>
            <w14:solidFill>
              <w14:schemeClr w14:val="tx1"/>
            </w14:solidFill>
          </w14:textFill>
        </w:rPr>
        <w:t>》中相关内容有出入，则以《</w:t>
      </w:r>
      <w:r>
        <w:rPr>
          <w:rFonts w:hint="eastAsia" w:ascii="仿宋_GB2312" w:hAnsi="仿宋_GB2312" w:eastAsia="仿宋_GB2312" w:cs="仿宋_GB2312"/>
          <w:color w:val="000000" w:themeColor="text1"/>
          <w:sz w:val="30"/>
          <w:szCs w:val="30"/>
          <w:lang w:eastAsia="zh-CN"/>
          <w14:textFill>
            <w14:solidFill>
              <w14:schemeClr w14:val="tx1"/>
            </w14:solidFill>
          </w14:textFill>
        </w:rPr>
        <w:t>运输</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合同</w:t>
      </w:r>
      <w:r>
        <w:rPr>
          <w:rFonts w:hint="eastAsia" w:ascii="仿宋_GB2312" w:hAnsi="仿宋_GB2312" w:eastAsia="仿宋_GB2312" w:cs="仿宋_GB2312"/>
          <w:color w:val="000000" w:themeColor="text1"/>
          <w:sz w:val="30"/>
          <w:szCs w:val="30"/>
          <w14:textFill>
            <w14:solidFill>
              <w14:schemeClr w14:val="tx1"/>
            </w14:solidFill>
          </w14:textFill>
        </w:rPr>
        <w:t>》所述内容为准。</w:t>
      </w:r>
    </w:p>
    <w:p>
      <w:pPr>
        <w:bidi w:val="0"/>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如果中标人不按上述规定执行，中标后未及时签订合同或放弃中标，招标人有权撤销授标，取消其中标人资格并没收其投标保证  金。招标人将在中标候选人中重新选定中标人。</w:t>
      </w:r>
    </w:p>
    <w:p>
      <w:pPr>
        <w:pStyle w:val="4"/>
        <w:keepNext w:val="0"/>
        <w:keepLines w:val="0"/>
        <w:pageBreakBefore w:val="0"/>
        <w:widowControl w:val="0"/>
        <w:kinsoku/>
        <w:wordWrap/>
        <w:overflowPunct/>
        <w:topLinePunct w:val="0"/>
        <w:bidi w:val="0"/>
        <w:adjustRightInd/>
        <w:snapToGrid/>
        <w:spacing w:before="0" w:line="451" w:lineRule="exact"/>
        <w:textAlignment w:val="auto"/>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（十二）招标具体标的情况及要求</w:t>
      </w:r>
    </w:p>
    <w:p>
      <w:pPr>
        <w:keepNext w:val="0"/>
        <w:keepLines w:val="0"/>
        <w:pageBreakBefore w:val="0"/>
        <w:widowControl w:val="0"/>
        <w:kinsoku/>
        <w:wordWrap/>
        <w:overflowPunct/>
        <w:topLinePunct w:val="0"/>
        <w:autoSpaceDE/>
        <w:autoSpaceDN/>
        <w:bidi w:val="0"/>
        <w:adjustRightInd/>
        <w:snapToGrid/>
        <w:spacing w:before="0" w:line="560" w:lineRule="exact"/>
        <w:ind w:firstLine="600" w:firstLineChars="200"/>
        <w:textAlignment w:val="auto"/>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yellow"/>
          <w14:textFill>
            <w14:solidFill>
              <w14:schemeClr w14:val="tx1"/>
            </w14:solidFill>
          </w14:textFill>
        </w:rPr>
        <w:t>本次招标</w:t>
      </w:r>
      <w:r>
        <w:rPr>
          <w:rFonts w:hint="eastAsia" w:ascii="仿宋_GB2312" w:hAnsi="仿宋_GB2312" w:eastAsia="仿宋_GB2312" w:cs="仿宋_GB2312"/>
          <w:color w:val="000000" w:themeColor="text1"/>
          <w:sz w:val="30"/>
          <w:szCs w:val="30"/>
          <w:highlight w:val="yellow"/>
          <w:lang w:eastAsia="zh-CN"/>
          <w14:textFill>
            <w14:solidFill>
              <w14:schemeClr w14:val="tx1"/>
            </w14:solidFill>
          </w14:textFill>
        </w:rPr>
        <w:t>只有</w:t>
      </w:r>
      <w:r>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t>1</w:t>
      </w:r>
      <w:r>
        <w:rPr>
          <w:rFonts w:hint="eastAsia" w:ascii="仿宋_GB2312" w:hAnsi="仿宋_GB2312" w:eastAsia="仿宋_GB2312" w:cs="仿宋_GB2312"/>
          <w:color w:val="000000" w:themeColor="text1"/>
          <w:sz w:val="30"/>
          <w:szCs w:val="30"/>
          <w:highlight w:val="yellow"/>
          <w14:textFill>
            <w14:solidFill>
              <w14:schemeClr w14:val="tx1"/>
            </w14:solidFill>
          </w14:textFill>
        </w:rPr>
        <w:t>个标段</w:t>
      </w:r>
      <w:r>
        <w:rPr>
          <w:rFonts w:hint="eastAsia" w:ascii="仿宋_GB2312" w:hAnsi="仿宋_GB2312" w:eastAsia="仿宋_GB2312" w:cs="仿宋_GB2312"/>
          <w:color w:val="000000" w:themeColor="text1"/>
          <w:sz w:val="30"/>
          <w:szCs w:val="30"/>
          <w:highlight w:val="yellow"/>
          <w:lang w:eastAsia="zh-CN"/>
          <w14:textFill>
            <w14:solidFill>
              <w14:schemeClr w14:val="tx1"/>
            </w14:solidFill>
          </w14:textFill>
        </w:rPr>
        <w:t>，</w:t>
      </w:r>
      <w:r>
        <w:rPr>
          <w:rFonts w:hint="eastAsia" w:ascii="仿宋_GB2312" w:hAnsi="仿宋_GB2312" w:eastAsia="仿宋_GB2312" w:cs="仿宋_GB2312"/>
          <w:i w:val="0"/>
          <w:color w:val="000000" w:themeColor="text1"/>
          <w:sz w:val="30"/>
          <w:szCs w:val="30"/>
          <w:highlight w:val="yellow"/>
          <w:u w:val="none"/>
          <w:lang w:eastAsia="zh-CN"/>
          <w14:textFill>
            <w14:solidFill>
              <w14:schemeClr w14:val="tx1"/>
            </w14:solidFill>
          </w14:textFill>
        </w:rPr>
        <w:t>仅对车厢长</w:t>
      </w:r>
      <w:r>
        <w:rPr>
          <w:rFonts w:hint="eastAsia" w:ascii="仿宋_GB2312" w:hAnsi="仿宋_GB2312" w:eastAsia="仿宋_GB2312" w:cs="仿宋_GB2312"/>
          <w:i w:val="0"/>
          <w:color w:val="000000" w:themeColor="text1"/>
          <w:sz w:val="30"/>
          <w:szCs w:val="30"/>
          <w:highlight w:val="yellow"/>
          <w:u w:val="none"/>
          <w:lang w:val="en-US" w:eastAsia="zh-CN"/>
          <w14:textFill>
            <w14:solidFill>
              <w14:schemeClr w14:val="tx1"/>
            </w14:solidFill>
          </w14:textFill>
        </w:rPr>
        <w:t>9.6米，</w:t>
      </w:r>
      <w:r>
        <w:rPr>
          <w:rFonts w:hint="eastAsia" w:ascii="仿宋_GB2312" w:hAnsi="仿宋_GB2312" w:eastAsia="仿宋_GB2312" w:cs="仿宋_GB2312"/>
          <w:i w:val="0"/>
          <w:color w:val="000000" w:themeColor="text1"/>
          <w:kern w:val="0"/>
          <w:sz w:val="30"/>
          <w:szCs w:val="30"/>
          <w:highlight w:val="yellow"/>
          <w:u w:val="none"/>
          <w:lang w:val="en-US" w:eastAsia="zh-CN" w:bidi="ar"/>
          <w14:textFill>
            <w14:solidFill>
              <w14:schemeClr w14:val="tx1"/>
            </w14:solidFill>
          </w14:textFill>
        </w:rPr>
        <w:t>里程</w:t>
      </w:r>
      <w:r>
        <w:rPr>
          <w:rFonts w:hint="eastAsia" w:ascii="宋体" w:hAnsi="宋体" w:eastAsia="宋体" w:cs="宋体"/>
          <w:i w:val="0"/>
          <w:color w:val="000000" w:themeColor="text1"/>
          <w:kern w:val="0"/>
          <w:sz w:val="30"/>
          <w:szCs w:val="30"/>
          <w:highlight w:val="yellow"/>
          <w:u w:val="none"/>
          <w:lang w:val="en-US" w:eastAsia="zh-CN" w:bidi="ar"/>
          <w14:textFill>
            <w14:solidFill>
              <w14:schemeClr w14:val="tx1"/>
            </w14:solidFill>
          </w14:textFill>
        </w:rPr>
        <w:t>&lt;</w:t>
      </w:r>
      <w:r>
        <w:rPr>
          <w:rFonts w:hint="eastAsia" w:ascii="仿宋_GB2312" w:hAnsi="仿宋_GB2312" w:eastAsia="仿宋_GB2312" w:cs="仿宋_GB2312"/>
          <w:i w:val="0"/>
          <w:color w:val="000000" w:themeColor="text1"/>
          <w:kern w:val="0"/>
          <w:sz w:val="30"/>
          <w:szCs w:val="30"/>
          <w:highlight w:val="yellow"/>
          <w:u w:val="none"/>
          <w:lang w:val="en-US" w:eastAsia="zh-CN" w:bidi="ar"/>
          <w14:textFill>
            <w14:solidFill>
              <w14:schemeClr w14:val="tx1"/>
            </w14:solidFill>
          </w14:textFill>
        </w:rPr>
        <w:t>100KM进行投标(投标报价可精确到小数点两位数），中标者同时无条件获得不同车型各运输区间的承运权</w:t>
      </w:r>
      <w:r>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t>。</w:t>
      </w:r>
    </w:p>
    <w:tbl>
      <w:tblPr>
        <w:tblStyle w:val="8"/>
        <w:tblW w:w="300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6"/>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jc w:val="center"/>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单边距离（KM）</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车厢9.6米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jc w:val="center"/>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100KM以下（含）</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center"/>
              <w:textAlignment w:val="auto"/>
              <w:outlineLvl w:val="9"/>
              <w:rPr>
                <w:rFonts w:hint="default" w:ascii="Times New Roman" w:hAnsi="Times New Roman" w:eastAsia="宋体" w:cs="Times New Roman"/>
                <w:sz w:val="24"/>
                <w:szCs w:val="24"/>
                <w:highlight w:val="yellow"/>
                <w:lang w:val="en-US" w:eastAsia="zh-CN"/>
              </w:rPr>
            </w:pPr>
            <w:r>
              <w:rPr>
                <w:rFonts w:hint="eastAsia" w:ascii="Times New Roman" w:hAnsi="Times New Roman" w:cs="Times New Roman"/>
                <w:sz w:val="24"/>
                <w:szCs w:val="24"/>
                <w:highlight w:val="yellow"/>
                <w:lang w:val="en-US" w:eastAsia="zh-CN"/>
              </w:rPr>
              <w:t>XX</w:t>
            </w:r>
            <w:r>
              <w:rPr>
                <w:rFonts w:hint="default" w:ascii="Times New Roman" w:hAnsi="Times New Roman" w:eastAsia="宋体" w:cs="Times New Roman"/>
                <w:sz w:val="24"/>
                <w:szCs w:val="24"/>
                <w:highlight w:val="yellow"/>
                <w:lang w:val="en-US" w:eastAsia="zh-CN"/>
              </w:rPr>
              <w:t>元/车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jc w:val="center"/>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100KM-250KM（含）</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100KM中标价+超出100KM的距离*10元/KM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jc w:val="center"/>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highlight w:val="yellow"/>
                <w:lang w:val="en-US" w:eastAsia="zh-CN"/>
              </w:rPr>
              <w:t>250KM-500KM（含）</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80" w:firstLineChars="200"/>
              <w:jc w:val="center"/>
              <w:textAlignment w:val="auto"/>
              <w:outlineLvl w:val="9"/>
              <w:rPr>
                <w:rFonts w:hint="default" w:ascii="Times New Roman" w:hAnsi="Times New Roman" w:eastAsia="宋体" w:cs="Times New Roman"/>
                <w:sz w:val="24"/>
                <w:szCs w:val="24"/>
                <w:highlight w:val="yellow"/>
                <w:lang w:val="en-US" w:eastAsia="zh-CN"/>
              </w:rPr>
            </w:pPr>
            <w:r>
              <w:rPr>
                <w:rFonts w:hint="eastAsia" w:ascii="Times New Roman" w:hAnsi="Times New Roman" w:cs="Times New Roman"/>
                <w:sz w:val="24"/>
                <w:szCs w:val="24"/>
                <w:highlight w:val="yellow"/>
                <w:lang w:val="en-US" w:eastAsia="zh-CN"/>
              </w:rPr>
              <w:t>12.87</w:t>
            </w:r>
            <w:r>
              <w:rPr>
                <w:rFonts w:hint="default" w:ascii="Times New Roman" w:hAnsi="Times New Roman" w:eastAsia="宋体" w:cs="Times New Roman"/>
                <w:sz w:val="24"/>
                <w:szCs w:val="24"/>
                <w:highlight w:val="yellow"/>
                <w:lang w:val="en-US" w:eastAsia="zh-CN"/>
              </w:rPr>
              <w:t>元/公里</w:t>
            </w:r>
          </w:p>
        </w:tc>
      </w:tr>
    </w:tbl>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注：</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1.投标报价</w:t>
      </w:r>
      <w:r>
        <w:rPr>
          <w:rFonts w:hint="eastAsia" w:ascii="仿宋_GB2312" w:hAnsi="仿宋_GB2312" w:eastAsia="仿宋_GB2312" w:cs="仿宋_GB2312"/>
          <w:b/>
          <w:bCs/>
          <w:color w:val="000000" w:themeColor="text1"/>
          <w:sz w:val="30"/>
          <w:szCs w:val="30"/>
          <w:highlight w:val="yellow"/>
          <w:u w:val="single"/>
          <w:lang w:val="en-US" w:eastAsia="zh-CN"/>
          <w14:textFill>
            <w14:solidFill>
              <w14:schemeClr w14:val="tx1"/>
            </w14:solidFill>
          </w14:textFill>
        </w:rPr>
        <w:t>X</w:t>
      </w: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超出价格上限为无效标，作废标处理.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default"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yellow"/>
          <w:u w:val="single"/>
          <w:lang w:val="en-US" w:eastAsia="zh-CN"/>
          <w14:textFill>
            <w14:solidFill>
              <w14:schemeClr w14:val="tx1"/>
            </w14:solidFill>
          </w14:textFill>
        </w:rPr>
        <w:t>2.国家油费涨跌与运费的关系；以云南省发展和改革委员会官网发布的VI标准0＃柴油价格为准（曲靖市），油价每累计上升或下降达到6％时，运输价格相应的上调或下调，调整幅度按照油价变化幅度的1／4进行调整。首次运价调整按投标时的油价7.66元／升为基准，下次运价调整按上次达到调整时的油价为基准，以此类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3.</w:t>
      </w:r>
      <w:r>
        <w:rPr>
          <w:rFonts w:hint="eastAsia" w:ascii="仿宋_GB2312" w:hAnsi="仿宋_GB2312" w:eastAsia="仿宋_GB2312" w:cs="仿宋_GB2312"/>
          <w:color w:val="000000" w:themeColor="text1"/>
          <w:sz w:val="30"/>
          <w:szCs w:val="30"/>
          <w14:textFill>
            <w14:solidFill>
              <w14:schemeClr w14:val="tx1"/>
            </w14:solidFill>
          </w14:textFill>
        </w:rPr>
        <w:t>报价需要考虑查超载的风险，若中标单位在承运过程中出现违法违规造成处罚或交通意外的，由中标单位负责；签订合同后不会由于超载问题调价</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t>4.</w:t>
      </w:r>
      <w:r>
        <w:rPr>
          <w:rFonts w:hint="eastAsia" w:ascii="仿宋_GB2312" w:hAnsi="仿宋_GB2312" w:eastAsia="仿宋_GB2312" w:cs="仿宋_GB2312"/>
          <w:color w:val="000000" w:themeColor="text1"/>
          <w:sz w:val="30"/>
          <w:szCs w:val="30"/>
          <w:highlight w:val="yellow"/>
          <w14:textFill>
            <w14:solidFill>
              <w14:schemeClr w14:val="tx1"/>
            </w14:solidFill>
          </w14:textFill>
        </w:rPr>
        <w:t>该价格包含车辆折旧、车辆保险、货物保险、驾驶员薪资、车辆GPS定位、燃油费、</w:t>
      </w:r>
      <w:r>
        <w:rPr>
          <w:rFonts w:hint="eastAsia" w:ascii="仿宋_GB2312" w:hAnsi="仿宋_GB2312" w:eastAsia="仿宋_GB2312" w:cs="仿宋_GB2312"/>
          <w:color w:val="000000" w:themeColor="text1"/>
          <w:sz w:val="30"/>
          <w:szCs w:val="30"/>
          <w:highlight w:val="yellow"/>
          <w:lang w:eastAsia="zh-CN"/>
          <w14:textFill>
            <w14:solidFill>
              <w14:schemeClr w14:val="tx1"/>
            </w14:solidFill>
          </w14:textFill>
        </w:rPr>
        <w:t>空车</w:t>
      </w:r>
      <w:r>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t>/重车</w:t>
      </w:r>
      <w:r>
        <w:rPr>
          <w:rFonts w:hint="eastAsia" w:ascii="仿宋_GB2312" w:hAnsi="仿宋_GB2312" w:eastAsia="仿宋_GB2312" w:cs="仿宋_GB2312"/>
          <w:color w:val="000000" w:themeColor="text1"/>
          <w:sz w:val="30"/>
          <w:szCs w:val="30"/>
          <w:highlight w:val="yellow"/>
          <w14:textFill>
            <w14:solidFill>
              <w14:schemeClr w14:val="tx1"/>
            </w14:solidFill>
          </w14:textFill>
        </w:rPr>
        <w:t>路桥费、</w:t>
      </w:r>
      <w:r>
        <w:rPr>
          <w:rFonts w:hint="eastAsia" w:ascii="仿宋_GB2312" w:hAnsi="仿宋_GB2312" w:eastAsia="仿宋_GB2312" w:cs="仿宋_GB2312"/>
          <w:color w:val="000000" w:themeColor="text1"/>
          <w:sz w:val="30"/>
          <w:szCs w:val="30"/>
          <w:highlight w:val="yellow"/>
          <w:lang w:eastAsia="zh-CN"/>
          <w14:textFill>
            <w14:solidFill>
              <w14:schemeClr w14:val="tx1"/>
            </w14:solidFill>
          </w14:textFill>
        </w:rPr>
        <w:t>税费、</w:t>
      </w:r>
      <w:r>
        <w:rPr>
          <w:rFonts w:hint="eastAsia" w:ascii="仿宋_GB2312" w:hAnsi="仿宋_GB2312" w:eastAsia="仿宋_GB2312" w:cs="仿宋_GB2312"/>
          <w:color w:val="000000" w:themeColor="text1"/>
          <w:sz w:val="30"/>
          <w:szCs w:val="30"/>
          <w:highlight w:val="yellow"/>
          <w14:textFill>
            <w14:solidFill>
              <w14:schemeClr w14:val="tx1"/>
            </w14:solidFill>
          </w14:textFill>
        </w:rPr>
        <w:t>车辆维修保养费</w:t>
      </w:r>
      <w:r>
        <w:rPr>
          <w:rFonts w:hint="eastAsia" w:ascii="仿宋_GB2312" w:hAnsi="仿宋_GB2312" w:eastAsia="仿宋_GB2312" w:cs="仿宋_GB2312"/>
          <w:color w:val="000000" w:themeColor="text1"/>
          <w:sz w:val="30"/>
          <w:szCs w:val="30"/>
          <w:highlight w:val="yellow"/>
          <w:lang w:eastAsia="zh-CN"/>
          <w14:textFill>
            <w14:solidFill>
              <w14:schemeClr w14:val="tx1"/>
            </w14:solidFill>
          </w14:textFill>
        </w:rPr>
        <w:t>、</w:t>
      </w:r>
      <w:r>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t>车辆初步清洗费</w:t>
      </w:r>
      <w:r>
        <w:rPr>
          <w:rFonts w:hint="eastAsia" w:ascii="仿宋_GB2312" w:hAnsi="仿宋_GB2312" w:eastAsia="仿宋_GB2312" w:cs="仿宋_GB2312"/>
          <w:color w:val="000000" w:themeColor="text1"/>
          <w:sz w:val="30"/>
          <w:szCs w:val="30"/>
          <w:highlight w:val="yellow"/>
          <w14:textFill>
            <w14:solidFill>
              <w14:schemeClr w14:val="tx1"/>
            </w14:solidFill>
          </w14:textFill>
        </w:rPr>
        <w:t>等为保证车辆正常运输所需的所有费用</w:t>
      </w:r>
      <w:r>
        <w:rPr>
          <w:rFonts w:hint="eastAsia" w:ascii="仿宋_GB2312" w:hAnsi="仿宋_GB2312" w:eastAsia="仿宋_GB2312" w:cs="仿宋_GB2312"/>
          <w:color w:val="000000" w:themeColor="text1"/>
          <w:sz w:val="30"/>
          <w:szCs w:val="30"/>
          <w:highlight w:val="yellow"/>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t>5.空车费用：车辆洗消烘干点→猪只装运点无空车费用。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default" w:ascii="仿宋_GB2312" w:hAnsi="仿宋_GB2312" w:eastAsia="仿宋_GB2312" w:cs="仿宋_GB2312"/>
          <w:color w:val="000000" w:themeColor="text1"/>
          <w:kern w:val="0"/>
          <w:sz w:val="30"/>
          <w:szCs w:val="30"/>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kern w:val="0"/>
          <w:sz w:val="30"/>
          <w:szCs w:val="30"/>
          <w:highlight w:val="yellow"/>
          <w:lang w:val="en-US" w:eastAsia="zh-CN"/>
          <w14:textFill>
            <w14:solidFill>
              <w14:schemeClr w14:val="tx1"/>
            </w14:solidFill>
          </w14:textFill>
        </w:rPr>
        <w:t>6.车辆洗消烘干：车辆清洗、消毒、烘干、采样、检测由甲方提供，车辆初步清洗由乙方自行负责。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themeColor="text1"/>
          <w:sz w:val="30"/>
          <w:szCs w:val="30"/>
          <w:highlight w:val="yellow"/>
          <w:lang w:val="en-US" w:eastAsia="zh-CN"/>
          <w14:textFill>
            <w14:solidFill>
              <w14:schemeClr w14:val="tx1"/>
            </w14:solidFill>
          </w14:textFill>
        </w:rPr>
        <w:t>7.结算里程数：猪只起运点→卸货终点重车距离。总的结算明细项目包括以上1-6项。</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TTMPAH+TimesNewRomanPSMT">
    <w:altName w:val="Sitka Text"/>
    <w:panose1 w:val="02000500000000000000"/>
    <w:charset w:val="01"/>
    <w:family w:val="auto"/>
    <w:pitch w:val="default"/>
    <w:sig w:usb0="00000000" w:usb1="00000000" w:usb2="01010101" w:usb3="01010101" w:csb0="01010101" w:csb1="01010101"/>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3724910</wp:posOffset>
              </wp:positionH>
              <wp:positionV relativeFrom="page">
                <wp:posOffset>9792335</wp:posOffset>
              </wp:positionV>
              <wp:extent cx="109220" cy="141605"/>
              <wp:effectExtent l="0" t="0" r="0" b="0"/>
              <wp:wrapNone/>
              <wp:docPr id="15" name="文本框 1"/>
              <wp:cNvGraphicFramePr/>
              <a:graphic xmlns:a="http://schemas.openxmlformats.org/drawingml/2006/main">
                <a:graphicData uri="http://schemas.microsoft.com/office/word/2010/wordprocessingShape">
                  <wps:wsp>
                    <wps:cNvSpPr txBox="1"/>
                    <wps:spPr>
                      <a:xfrm>
                        <a:off x="0" y="0"/>
                        <a:ext cx="109220" cy="141605"/>
                      </a:xfrm>
                      <a:prstGeom prst="rect">
                        <a:avLst/>
                      </a:prstGeom>
                      <a:noFill/>
                      <a:ln>
                        <a:noFill/>
                      </a:ln>
                    </wps:spPr>
                    <wps:txbx>
                      <w:txbxContent>
                        <w:p>
                          <w:pPr>
                            <w:spacing w:before="0" w:line="206"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3pt;margin-top:771.05pt;height:11.15pt;width:8.6pt;mso-position-horizontal-relative:page;mso-position-vertical-relative:page;z-index:-251656192;mso-width-relative:page;mso-height-relative:page;" filled="f" stroked="f" coordsize="21600,21600" o:gfxdata="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eBlku2gAAAA0BAAAPAAAAAAAAAAEAIAAAACIAAABkcnMvZG93bnJldi54bWxQSwEC&#10;FAAUAAAACACHTuJAl243A7kBAAByAwAADgAAAAAAAAABACAAAAApAQAAZHJzL2Uyb0RvYy54bWxQ&#10;SwUGAAAAAAYABgBZAQAAVAUAAAAA&#10;">
              <v:fill on="f" focussize="0,0"/>
              <v:stroke on="f"/>
              <v:imagedata o:title=""/>
              <o:lock v:ext="edit" aspectratio="f"/>
              <v:textbox inset="0mm,0mm,0mm,0mm">
                <w:txbxContent>
                  <w:p>
                    <w:pPr>
                      <w:spacing w:before="0" w:line="206" w:lineRule="exact"/>
                      <w:ind w:left="40" w:right="0" w:firstLine="0"/>
                      <w:jc w:val="left"/>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250" w:hanging="800"/>
        <w:jc w:val="left"/>
      </w:pPr>
      <w:rPr>
        <w:rFonts w:hint="default" w:ascii="宋体" w:hAnsi="宋体" w:eastAsia="宋体" w:cs="宋体"/>
        <w:w w:val="99"/>
        <w:sz w:val="30"/>
        <w:szCs w:val="30"/>
      </w:rPr>
    </w:lvl>
    <w:lvl w:ilvl="1" w:tentative="0">
      <w:start w:val="0"/>
      <w:numFmt w:val="bullet"/>
      <w:lvlText w:val="•"/>
      <w:lvlJc w:val="left"/>
      <w:pPr>
        <w:ind w:left="2142" w:hanging="800"/>
      </w:pPr>
      <w:rPr>
        <w:rFonts w:hint="default"/>
      </w:rPr>
    </w:lvl>
    <w:lvl w:ilvl="2" w:tentative="0">
      <w:start w:val="0"/>
      <w:numFmt w:val="bullet"/>
      <w:lvlText w:val="•"/>
      <w:lvlJc w:val="left"/>
      <w:pPr>
        <w:ind w:left="3025" w:hanging="800"/>
      </w:pPr>
      <w:rPr>
        <w:rFonts w:hint="default"/>
      </w:rPr>
    </w:lvl>
    <w:lvl w:ilvl="3" w:tentative="0">
      <w:start w:val="0"/>
      <w:numFmt w:val="bullet"/>
      <w:lvlText w:val="•"/>
      <w:lvlJc w:val="left"/>
      <w:pPr>
        <w:ind w:left="3907" w:hanging="800"/>
      </w:pPr>
      <w:rPr>
        <w:rFonts w:hint="default"/>
      </w:rPr>
    </w:lvl>
    <w:lvl w:ilvl="4" w:tentative="0">
      <w:start w:val="0"/>
      <w:numFmt w:val="bullet"/>
      <w:lvlText w:val="•"/>
      <w:lvlJc w:val="left"/>
      <w:pPr>
        <w:ind w:left="4790" w:hanging="800"/>
      </w:pPr>
      <w:rPr>
        <w:rFonts w:hint="default"/>
      </w:rPr>
    </w:lvl>
    <w:lvl w:ilvl="5" w:tentative="0">
      <w:start w:val="0"/>
      <w:numFmt w:val="bullet"/>
      <w:lvlText w:val="•"/>
      <w:lvlJc w:val="left"/>
      <w:pPr>
        <w:ind w:left="5673" w:hanging="800"/>
      </w:pPr>
      <w:rPr>
        <w:rFonts w:hint="default"/>
      </w:rPr>
    </w:lvl>
    <w:lvl w:ilvl="6" w:tentative="0">
      <w:start w:val="0"/>
      <w:numFmt w:val="bullet"/>
      <w:lvlText w:val="•"/>
      <w:lvlJc w:val="left"/>
      <w:pPr>
        <w:ind w:left="6555" w:hanging="800"/>
      </w:pPr>
      <w:rPr>
        <w:rFonts w:hint="default"/>
      </w:rPr>
    </w:lvl>
    <w:lvl w:ilvl="7" w:tentative="0">
      <w:start w:val="0"/>
      <w:numFmt w:val="bullet"/>
      <w:lvlText w:val="•"/>
      <w:lvlJc w:val="left"/>
      <w:pPr>
        <w:ind w:left="7438" w:hanging="800"/>
      </w:pPr>
      <w:rPr>
        <w:rFonts w:hint="default"/>
      </w:rPr>
    </w:lvl>
    <w:lvl w:ilvl="8" w:tentative="0">
      <w:start w:val="0"/>
      <w:numFmt w:val="bullet"/>
      <w:lvlText w:val="•"/>
      <w:lvlJc w:val="left"/>
      <w:pPr>
        <w:ind w:left="8320" w:hanging="800"/>
      </w:pPr>
      <w:rPr>
        <w:rFonts w:hint="default"/>
      </w:rPr>
    </w:lvl>
  </w:abstractNum>
  <w:abstractNum w:abstractNumId="1">
    <w:nsid w:val="BB5A711E"/>
    <w:multiLevelType w:val="singleLevel"/>
    <w:tmpl w:val="BB5A711E"/>
    <w:lvl w:ilvl="0" w:tentative="0">
      <w:start w:val="3"/>
      <w:numFmt w:val="decimal"/>
      <w:suff w:val="nothing"/>
      <w:lvlText w:val="（%1）"/>
      <w:lvlJc w:val="left"/>
    </w:lvl>
  </w:abstractNum>
  <w:abstractNum w:abstractNumId="2">
    <w:nsid w:val="59ADCABA"/>
    <w:multiLevelType w:val="multilevel"/>
    <w:tmpl w:val="59ADCABA"/>
    <w:lvl w:ilvl="0" w:tentative="0">
      <w:start w:val="1"/>
      <w:numFmt w:val="decimal"/>
      <w:lvlText w:val="（%1）"/>
      <w:lvlJc w:val="left"/>
      <w:pPr>
        <w:ind w:left="1250" w:hanging="800"/>
        <w:jc w:val="left"/>
      </w:pPr>
      <w:rPr>
        <w:rFonts w:hint="default" w:ascii="宋体" w:hAnsi="宋体" w:eastAsia="宋体" w:cs="宋体"/>
        <w:w w:val="99"/>
        <w:sz w:val="30"/>
        <w:szCs w:val="30"/>
      </w:rPr>
    </w:lvl>
    <w:lvl w:ilvl="1" w:tentative="0">
      <w:start w:val="0"/>
      <w:numFmt w:val="bullet"/>
      <w:lvlText w:val="•"/>
      <w:lvlJc w:val="left"/>
      <w:pPr>
        <w:ind w:left="2142" w:hanging="800"/>
      </w:pPr>
      <w:rPr>
        <w:rFonts w:hint="default"/>
      </w:rPr>
    </w:lvl>
    <w:lvl w:ilvl="2" w:tentative="0">
      <w:start w:val="0"/>
      <w:numFmt w:val="bullet"/>
      <w:lvlText w:val="•"/>
      <w:lvlJc w:val="left"/>
      <w:pPr>
        <w:ind w:left="3025" w:hanging="800"/>
      </w:pPr>
      <w:rPr>
        <w:rFonts w:hint="default"/>
      </w:rPr>
    </w:lvl>
    <w:lvl w:ilvl="3" w:tentative="0">
      <w:start w:val="0"/>
      <w:numFmt w:val="bullet"/>
      <w:lvlText w:val="•"/>
      <w:lvlJc w:val="left"/>
      <w:pPr>
        <w:ind w:left="3907" w:hanging="800"/>
      </w:pPr>
      <w:rPr>
        <w:rFonts w:hint="default"/>
      </w:rPr>
    </w:lvl>
    <w:lvl w:ilvl="4" w:tentative="0">
      <w:start w:val="0"/>
      <w:numFmt w:val="bullet"/>
      <w:lvlText w:val="•"/>
      <w:lvlJc w:val="left"/>
      <w:pPr>
        <w:ind w:left="4790" w:hanging="800"/>
      </w:pPr>
      <w:rPr>
        <w:rFonts w:hint="default"/>
      </w:rPr>
    </w:lvl>
    <w:lvl w:ilvl="5" w:tentative="0">
      <w:start w:val="0"/>
      <w:numFmt w:val="bullet"/>
      <w:lvlText w:val="•"/>
      <w:lvlJc w:val="left"/>
      <w:pPr>
        <w:ind w:left="5673" w:hanging="800"/>
      </w:pPr>
      <w:rPr>
        <w:rFonts w:hint="default"/>
      </w:rPr>
    </w:lvl>
    <w:lvl w:ilvl="6" w:tentative="0">
      <w:start w:val="0"/>
      <w:numFmt w:val="bullet"/>
      <w:lvlText w:val="•"/>
      <w:lvlJc w:val="left"/>
      <w:pPr>
        <w:ind w:left="6555" w:hanging="800"/>
      </w:pPr>
      <w:rPr>
        <w:rFonts w:hint="default"/>
      </w:rPr>
    </w:lvl>
    <w:lvl w:ilvl="7" w:tentative="0">
      <w:start w:val="0"/>
      <w:numFmt w:val="bullet"/>
      <w:lvlText w:val="•"/>
      <w:lvlJc w:val="left"/>
      <w:pPr>
        <w:ind w:left="7438" w:hanging="800"/>
      </w:pPr>
      <w:rPr>
        <w:rFonts w:hint="default"/>
      </w:rPr>
    </w:lvl>
    <w:lvl w:ilvl="8" w:tentative="0">
      <w:start w:val="0"/>
      <w:numFmt w:val="bullet"/>
      <w:lvlText w:val="•"/>
      <w:lvlJc w:val="left"/>
      <w:pPr>
        <w:ind w:left="8320" w:hanging="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D6117"/>
    <w:rsid w:val="0399640A"/>
    <w:rsid w:val="077A7C30"/>
    <w:rsid w:val="0B8A0A30"/>
    <w:rsid w:val="0BD93583"/>
    <w:rsid w:val="0D2A551E"/>
    <w:rsid w:val="0F4E34F2"/>
    <w:rsid w:val="13CC1508"/>
    <w:rsid w:val="1503144A"/>
    <w:rsid w:val="17707E5D"/>
    <w:rsid w:val="17ED2F94"/>
    <w:rsid w:val="19EC1A12"/>
    <w:rsid w:val="1A3977A9"/>
    <w:rsid w:val="1AAD16F6"/>
    <w:rsid w:val="1C7E1C22"/>
    <w:rsid w:val="1C822387"/>
    <w:rsid w:val="1CC80EC6"/>
    <w:rsid w:val="1DFB490D"/>
    <w:rsid w:val="200174FC"/>
    <w:rsid w:val="22276D94"/>
    <w:rsid w:val="25581488"/>
    <w:rsid w:val="26276007"/>
    <w:rsid w:val="27497C28"/>
    <w:rsid w:val="27733427"/>
    <w:rsid w:val="296E7C07"/>
    <w:rsid w:val="2A5A0AC9"/>
    <w:rsid w:val="2D7633EA"/>
    <w:rsid w:val="2D775973"/>
    <w:rsid w:val="2DD702D0"/>
    <w:rsid w:val="30C606E6"/>
    <w:rsid w:val="34331AAF"/>
    <w:rsid w:val="37B25C6C"/>
    <w:rsid w:val="38323305"/>
    <w:rsid w:val="399556FA"/>
    <w:rsid w:val="3CFC5558"/>
    <w:rsid w:val="3DA858AC"/>
    <w:rsid w:val="417C4ED5"/>
    <w:rsid w:val="4FD2142D"/>
    <w:rsid w:val="51E951E6"/>
    <w:rsid w:val="5265465B"/>
    <w:rsid w:val="5266163F"/>
    <w:rsid w:val="52F37C45"/>
    <w:rsid w:val="53033AEE"/>
    <w:rsid w:val="53522541"/>
    <w:rsid w:val="53BB25CD"/>
    <w:rsid w:val="53D029BE"/>
    <w:rsid w:val="544133D6"/>
    <w:rsid w:val="56A9475C"/>
    <w:rsid w:val="56CC373D"/>
    <w:rsid w:val="58183D5E"/>
    <w:rsid w:val="58354269"/>
    <w:rsid w:val="59826569"/>
    <w:rsid w:val="5AC93971"/>
    <w:rsid w:val="5AE43878"/>
    <w:rsid w:val="5B94144C"/>
    <w:rsid w:val="5BB552E9"/>
    <w:rsid w:val="5CEE064A"/>
    <w:rsid w:val="5F0E580E"/>
    <w:rsid w:val="6A522424"/>
    <w:rsid w:val="6B553727"/>
    <w:rsid w:val="6F49516F"/>
    <w:rsid w:val="737C7606"/>
    <w:rsid w:val="75687B1A"/>
    <w:rsid w:val="78435DB1"/>
    <w:rsid w:val="78477027"/>
    <w:rsid w:val="78F73ED1"/>
    <w:rsid w:val="798D34DF"/>
    <w:rsid w:val="79B00C4D"/>
    <w:rsid w:val="7BA934F5"/>
    <w:rsid w:val="7C2108EA"/>
    <w:rsid w:val="7D610A06"/>
    <w:rsid w:val="7E24655B"/>
    <w:rsid w:val="7FE65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844"/>
      <w:outlineLvl w:val="1"/>
    </w:pPr>
    <w:rPr>
      <w:rFonts w:ascii="Microsoft JhengHei" w:hAnsi="Microsoft JhengHei" w:eastAsia="Microsoft JhengHei" w:cs="Microsoft JhengHei"/>
      <w:b/>
      <w:bCs/>
      <w:sz w:val="72"/>
      <w:szCs w:val="72"/>
    </w:rPr>
  </w:style>
  <w:style w:type="paragraph" w:styleId="3">
    <w:name w:val="heading 2"/>
    <w:basedOn w:val="1"/>
    <w:next w:val="1"/>
    <w:qFormat/>
    <w:uiPriority w:val="1"/>
    <w:pPr>
      <w:spacing w:line="563" w:lineRule="exact"/>
      <w:ind w:left="2108"/>
      <w:outlineLvl w:val="2"/>
    </w:pPr>
    <w:rPr>
      <w:rFonts w:ascii="Microsoft JhengHei" w:hAnsi="Microsoft JhengHei" w:eastAsia="Microsoft JhengHei" w:cs="Microsoft JhengHei"/>
      <w:b/>
      <w:bCs/>
      <w:sz w:val="44"/>
      <w:szCs w:val="44"/>
    </w:rPr>
  </w:style>
  <w:style w:type="paragraph" w:styleId="4">
    <w:name w:val="heading 3"/>
    <w:basedOn w:val="1"/>
    <w:next w:val="1"/>
    <w:qFormat/>
    <w:uiPriority w:val="1"/>
    <w:pPr>
      <w:spacing w:line="482" w:lineRule="exact"/>
      <w:ind w:left="690"/>
      <w:outlineLvl w:val="3"/>
    </w:pPr>
    <w:rPr>
      <w:rFonts w:ascii="Microsoft JhengHei" w:hAnsi="Microsoft JhengHei" w:eastAsia="Microsoft JhengHei" w:cs="Microsoft JhengHei"/>
      <w:b/>
      <w:bCs/>
      <w:sz w:val="32"/>
      <w:szCs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128"/>
    </w:pPr>
    <w:rPr>
      <w:rFonts w:ascii="宋体" w:hAnsi="宋体" w:eastAsia="宋体" w:cs="宋体"/>
      <w:sz w:val="32"/>
      <w:szCs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List Paragraph"/>
    <w:basedOn w:val="1"/>
    <w:qFormat/>
    <w:uiPriority w:val="1"/>
    <w:pPr>
      <w:ind w:left="128" w:hanging="800"/>
    </w:pPr>
    <w:rPr>
      <w:rFonts w:ascii="宋体" w:hAnsi="宋体" w:eastAsia="宋体" w:cs="宋体"/>
    </w:rPr>
  </w:style>
  <w:style w:type="paragraph" w:customStyle="1" w:styleId="11">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2024-02-05T09:16:00Z</dcterms:created>
  <dc:creator>admin</dc:creator>
  <cp:lastModifiedBy>Administrator</cp:lastModifiedBy>
  <dcterms:modified xsi:type="dcterms:W3CDTF">2024-03-20T11:02:19Z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7BC5CD215D5B4FC38912F176B546DF7C</vt:lpwstr>
  </property>
</Properties>
</file>