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4" w:leftChars="-202"/>
        <w:jc w:val="left"/>
        <w:rPr>
          <w:rFonts w:hAnsi="宋体"/>
          <w:sz w:val="44"/>
          <w:szCs w:val="44"/>
        </w:rPr>
      </w:pPr>
      <w:r>
        <w:rPr>
          <w:rFonts w:hint="eastAsia"/>
        </w:rPr>
        <w:drawing>
          <wp:inline distT="0" distB="0" distL="0" distR="0">
            <wp:extent cx="2625725" cy="579755"/>
            <wp:effectExtent l="19050" t="0" r="3111" b="0"/>
            <wp:docPr id="9" name="图片 2" descr="温氏LOGO股票代码左右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温氏LOGO股票代码左右组合"/>
                    <pic:cNvPicPr>
                      <a:picLocks noChangeAspect="1" noChangeArrowheads="1"/>
                    </pic:cNvPicPr>
                  </pic:nvPicPr>
                  <pic:blipFill>
                    <a:blip r:embed="rId11" cstate="print"/>
                    <a:srcRect/>
                    <a:stretch>
                      <a:fillRect/>
                    </a:stretch>
                  </pic:blipFill>
                  <pic:spPr>
                    <a:xfrm>
                      <a:off x="0" y="0"/>
                      <a:ext cx="2627324" cy="580369"/>
                    </a:xfrm>
                    <a:prstGeom prst="rect">
                      <a:avLst/>
                    </a:prstGeom>
                    <a:noFill/>
                    <a:ln w="9525">
                      <a:noFill/>
                      <a:miter lim="800000"/>
                      <a:headEnd/>
                      <a:tailEnd/>
                    </a:ln>
                  </pic:spPr>
                </pic:pic>
              </a:graphicData>
            </a:graphic>
          </wp:inline>
        </w:drawing>
      </w:r>
    </w:p>
    <w:p>
      <w:pPr>
        <w:ind w:firstLine="420"/>
      </w:pPr>
    </w:p>
    <w:p>
      <w:pPr>
        <w:ind w:firstLine="420"/>
      </w:pPr>
    </w:p>
    <w:p>
      <w:pPr>
        <w:ind w:firstLine="420"/>
      </w:pPr>
    </w:p>
    <w:p>
      <w:pPr>
        <w:ind w:firstLine="420"/>
      </w:pPr>
    </w:p>
    <w:p>
      <w:pPr>
        <w:ind w:firstLine="420"/>
      </w:pPr>
    </w:p>
    <w:p>
      <w:pPr>
        <w:ind w:firstLine="420"/>
      </w:pPr>
    </w:p>
    <w:p>
      <w:pPr>
        <w:ind w:firstLine="420"/>
      </w:pPr>
      <w:bookmarkStart w:id="0" w:name="_GoBack"/>
      <w:bookmarkEnd w:id="0"/>
    </w:p>
    <w:p>
      <w:pPr>
        <w:ind w:firstLine="420"/>
      </w:pPr>
    </w:p>
    <w:p>
      <w:pPr>
        <w:pStyle w:val="44"/>
        <w:adjustRightInd w:val="0"/>
        <w:snapToGrid w:val="0"/>
        <w:spacing w:line="360" w:lineRule="auto"/>
        <w:ind w:firstLine="0" w:firstLineChars="0"/>
        <w:rPr>
          <w:rFonts w:hint="eastAsia"/>
        </w:rPr>
      </w:pPr>
    </w:p>
    <w:p>
      <w:pPr>
        <w:pStyle w:val="44"/>
        <w:adjustRightInd w:val="0"/>
        <w:snapToGrid w:val="0"/>
        <w:spacing w:line="360" w:lineRule="auto"/>
        <w:ind w:firstLine="0" w:firstLineChars="0"/>
        <w:rPr>
          <w:rFonts w:hint="eastAsia"/>
        </w:rPr>
      </w:pPr>
    </w:p>
    <w:p>
      <w:pPr>
        <w:pStyle w:val="44"/>
        <w:adjustRightInd w:val="0"/>
        <w:snapToGrid w:val="0"/>
        <w:spacing w:line="360" w:lineRule="auto"/>
        <w:ind w:firstLine="0" w:firstLineChars="0"/>
      </w:pPr>
      <w:r>
        <w:rPr>
          <w:rFonts w:hint="eastAsia"/>
        </w:rPr>
        <w:t>温氏股份招标平台供应商投标</w:t>
      </w:r>
    </w:p>
    <w:p>
      <w:pPr>
        <w:pStyle w:val="44"/>
        <w:adjustRightInd w:val="0"/>
        <w:snapToGrid w:val="0"/>
        <w:spacing w:line="360" w:lineRule="auto"/>
        <w:ind w:firstLine="0" w:firstLineChars="0"/>
        <w:rPr>
          <w:rFonts w:hint="eastAsia"/>
        </w:rPr>
      </w:pPr>
      <w:r>
        <w:rPr>
          <w:rFonts w:hint="eastAsia"/>
        </w:rPr>
        <w:t>用户操作手册</w:t>
      </w:r>
    </w:p>
    <w:p>
      <w:pPr>
        <w:pStyle w:val="44"/>
        <w:adjustRightInd w:val="0"/>
        <w:snapToGrid w:val="0"/>
        <w:spacing w:line="360" w:lineRule="auto"/>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spacing w:line="400" w:lineRule="exact"/>
        <w:rPr>
          <w:rFonts w:hint="eastAsia" w:ascii="仿宋_GB2312" w:eastAsia="仿宋_GB2312" w:hAnsiTheme="minorEastAsia"/>
          <w:sz w:val="28"/>
          <w:szCs w:val="28"/>
        </w:rPr>
      </w:pPr>
      <w:r>
        <w:rPr>
          <w:rFonts w:hint="eastAsia" w:ascii="仿宋_GB2312" w:eastAsia="仿宋_GB2312" w:hAnsiTheme="minorEastAsia"/>
          <w:sz w:val="28"/>
          <w:szCs w:val="28"/>
        </w:rPr>
        <w:t>一、</w:t>
      </w:r>
      <w:r>
        <w:rPr>
          <w:rFonts w:hint="eastAsia" w:ascii="仿宋_GB2312" w:eastAsia="仿宋_GB2312" w:hAnsiTheme="minorEastAsia"/>
          <w:b/>
          <w:sz w:val="30"/>
          <w:szCs w:val="30"/>
        </w:rPr>
        <w:t>项目应标</w:t>
      </w:r>
    </w:p>
    <w:p>
      <w:pPr>
        <w:spacing w:line="400" w:lineRule="exact"/>
        <w:ind w:firstLine="420"/>
        <w:rPr>
          <w:rFonts w:hint="eastAsia" w:ascii="仿宋_GB2312" w:eastAsia="仿宋_GB2312" w:hAnsiTheme="minorEastAsia"/>
          <w:sz w:val="28"/>
          <w:szCs w:val="28"/>
        </w:rPr>
      </w:pPr>
      <w:r>
        <w:rPr>
          <w:rFonts w:hint="eastAsia" w:ascii="仿宋_GB2312" w:eastAsia="仿宋_GB2312" w:hAnsiTheme="minorEastAsia"/>
          <w:sz w:val="28"/>
          <w:szCs w:val="28"/>
        </w:rPr>
        <w:t>支持供应商在线确认邀请函以及报名、招标报价、录入保证金费用、获得招投标信息等参与招标业务活动的相关操作。</w:t>
      </w:r>
    </w:p>
    <w:p>
      <w:pPr>
        <w:spacing w:line="400" w:lineRule="exact"/>
        <w:ind w:firstLine="420"/>
        <w:rPr>
          <w:rFonts w:hint="eastAsia" w:ascii="仿宋_GB2312" w:eastAsia="仿宋_GB2312"/>
          <w:sz w:val="28"/>
          <w:szCs w:val="28"/>
        </w:rPr>
      </w:pPr>
    </w:p>
    <w:p>
      <w:pPr>
        <w:spacing w:line="400" w:lineRule="exact"/>
        <w:rPr>
          <w:rFonts w:hint="eastAsia" w:ascii="仿宋_GB2312" w:eastAsia="仿宋_GB2312"/>
          <w:b/>
          <w:sz w:val="30"/>
          <w:szCs w:val="30"/>
        </w:rPr>
      </w:pPr>
      <w:r>
        <w:rPr>
          <w:rFonts w:hint="eastAsia" w:ascii="仿宋_GB2312" w:eastAsia="仿宋_GB2312"/>
          <w:b/>
          <w:sz w:val="30"/>
          <w:szCs w:val="30"/>
        </w:rPr>
        <w:t>二、操作说明</w:t>
      </w:r>
    </w:p>
    <w:p>
      <w:pPr>
        <w:spacing w:line="400" w:lineRule="exact"/>
        <w:rPr>
          <w:rFonts w:hint="eastAsia" w:ascii="仿宋_GB2312" w:eastAsia="仿宋_GB2312" w:hAnsiTheme="minorEastAsia"/>
          <w:sz w:val="28"/>
          <w:szCs w:val="28"/>
        </w:rPr>
      </w:pPr>
      <w:r>
        <w:rPr>
          <w:rFonts w:hint="eastAsia" w:ascii="仿宋_GB2312" w:eastAsia="仿宋_GB2312" w:hAnsiTheme="minorEastAsia"/>
          <w:sz w:val="28"/>
          <w:szCs w:val="28"/>
        </w:rPr>
        <w:t>1、供应商报名：供应商可以通过“我要报名”功能，参加公开招标或接受招标（议标）邀请。</w:t>
      </w:r>
    </w:p>
    <w:p>
      <w:pPr>
        <w:pStyle w:val="31"/>
        <w:numPr>
          <w:ilvl w:val="0"/>
          <w:numId w:val="1"/>
        </w:numPr>
        <w:spacing w:line="400" w:lineRule="exact"/>
        <w:ind w:left="0" w:firstLine="0" w:firstLineChars="0"/>
        <w:rPr>
          <w:rFonts w:hint="eastAsia" w:ascii="仿宋_GB2312" w:eastAsia="仿宋_GB2312" w:hAnsiTheme="minorEastAsia"/>
          <w:sz w:val="28"/>
          <w:szCs w:val="28"/>
        </w:rPr>
      </w:pPr>
      <w:r>
        <w:rPr>
          <w:rFonts w:hint="eastAsia" w:ascii="仿宋_GB2312" w:eastAsia="仿宋_GB2312" w:hAnsiTheme="minorEastAsia"/>
          <w:sz w:val="28"/>
          <w:szCs w:val="28"/>
        </w:rPr>
        <w:t>执行操作路径：项目管理&gt;我要报名&gt;接受邀请函，点击公开招标项目或接受项目邀请函操作。如下图：</w:t>
      </w:r>
    </w:p>
    <w:p>
      <w:pPr>
        <w:pStyle w:val="31"/>
        <w:spacing w:line="360" w:lineRule="auto"/>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114300" distR="114300">
            <wp:extent cx="5270500" cy="2108200"/>
            <wp:effectExtent l="19050" t="0" r="6284" b="0"/>
            <wp:docPr id="1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9"/>
                    <pic:cNvPicPr>
                      <a:picLocks noChangeAspect="1"/>
                    </pic:cNvPicPr>
                  </pic:nvPicPr>
                  <pic:blipFill>
                    <a:blip r:embed="rId12" cstate="print"/>
                    <a:stretch>
                      <a:fillRect/>
                    </a:stretch>
                  </pic:blipFill>
                  <pic:spPr>
                    <a:xfrm>
                      <a:off x="0" y="0"/>
                      <a:ext cx="5269865" cy="2108299"/>
                    </a:xfrm>
                    <a:prstGeom prst="rect">
                      <a:avLst/>
                    </a:prstGeom>
                    <a:noFill/>
                    <a:ln>
                      <a:noFill/>
                    </a:ln>
                  </pic:spPr>
                </pic:pic>
              </a:graphicData>
            </a:graphic>
          </wp:inline>
        </w:drawing>
      </w:r>
    </w:p>
    <w:p>
      <w:pPr>
        <w:pStyle w:val="31"/>
        <w:spacing w:line="400" w:lineRule="exact"/>
        <w:ind w:firstLine="0" w:firstLineChars="0"/>
        <w:rPr>
          <w:rFonts w:hint="eastAsia" w:ascii="仿宋_GB2312" w:eastAsia="仿宋_GB2312" w:hAnsiTheme="minorEastAsia"/>
          <w:sz w:val="28"/>
          <w:szCs w:val="28"/>
        </w:rPr>
      </w:pPr>
      <w:r>
        <w:rPr>
          <w:rFonts w:hint="eastAsia" w:ascii="仿宋_GB2312" w:eastAsia="仿宋_GB2312" w:hAnsiTheme="minorEastAsia"/>
          <w:sz w:val="28"/>
          <w:szCs w:val="28"/>
        </w:rPr>
        <w:t>如供应商收到我公司邀请后，请根据自身业务开展确认是否参加受邀标的招投标，并作出操作选择勾选是或否接受邀请并保存</w:t>
      </w:r>
      <w:r>
        <w:rPr>
          <w:rFonts w:hint="eastAsia" w:ascii="仿宋" w:hAnsi="仿宋" w:eastAsia="仿宋" w:cs="仿宋"/>
          <w:b w:val="0"/>
          <w:bCs w:val="0"/>
          <w:color w:val="auto"/>
          <w:sz w:val="30"/>
          <w:szCs w:val="30"/>
          <w:highlight w:val="none"/>
          <w:lang w:val="en-US" w:eastAsia="zh-CN"/>
        </w:rPr>
        <w:t>（</w:t>
      </w:r>
      <w:r>
        <w:rPr>
          <w:rFonts w:hint="eastAsia" w:ascii="仿宋" w:hAnsi="仿宋" w:eastAsia="仿宋" w:cs="仿宋"/>
          <w:b/>
          <w:bCs/>
          <w:color w:val="FF0000"/>
          <w:sz w:val="30"/>
          <w:szCs w:val="30"/>
          <w:highlight w:val="none"/>
          <w:u w:val="single"/>
          <w:lang w:val="en-US" w:eastAsia="zh-CN"/>
        </w:rPr>
        <w:t>无需上传邀请函回执</w:t>
      </w:r>
      <w:r>
        <w:rPr>
          <w:rFonts w:hint="eastAsia" w:ascii="仿宋" w:hAnsi="仿宋" w:eastAsia="仿宋" w:cs="仿宋"/>
          <w:b w:val="0"/>
          <w:bCs w:val="0"/>
          <w:color w:val="auto"/>
          <w:sz w:val="30"/>
          <w:szCs w:val="30"/>
          <w:highlight w:val="none"/>
          <w:lang w:val="en-US" w:eastAsia="zh-CN"/>
        </w:rPr>
        <w:t>）</w:t>
      </w:r>
      <w:r>
        <w:rPr>
          <w:rFonts w:hint="eastAsia" w:ascii="仿宋_GB2312" w:eastAsia="仿宋_GB2312" w:hAnsiTheme="minorEastAsia"/>
          <w:sz w:val="28"/>
          <w:szCs w:val="28"/>
        </w:rPr>
        <w:t>。如下图：</w:t>
      </w:r>
    </w:p>
    <w:p>
      <w:pPr>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114300" distR="114300">
            <wp:extent cx="5271770" cy="2476500"/>
            <wp:effectExtent l="0" t="0" r="5080" b="0"/>
            <wp:docPr id="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
                    <pic:cNvPicPr>
                      <a:picLocks noChangeAspect="1"/>
                    </pic:cNvPicPr>
                  </pic:nvPicPr>
                  <pic:blipFill>
                    <a:blip r:embed="rId13" cstate="print"/>
                    <a:stretch>
                      <a:fillRect/>
                    </a:stretch>
                  </pic:blipFill>
                  <pic:spPr>
                    <a:xfrm>
                      <a:off x="0" y="0"/>
                      <a:ext cx="5273675" cy="2477956"/>
                    </a:xfrm>
                    <a:prstGeom prst="rect">
                      <a:avLst/>
                    </a:prstGeom>
                    <a:noFill/>
                    <a:ln>
                      <a:noFill/>
                    </a:ln>
                  </pic:spPr>
                </pic:pic>
              </a:graphicData>
            </a:graphic>
          </wp:inline>
        </w:drawing>
      </w:r>
    </w:p>
    <w:p>
      <w:pPr>
        <w:numPr>
          <w:ilvl w:val="0"/>
          <w:numId w:val="1"/>
        </w:numPr>
        <w:spacing w:line="400" w:lineRule="exact"/>
        <w:ind w:left="0" w:firstLine="0"/>
        <w:rPr>
          <w:rFonts w:hint="eastAsia" w:ascii="仿宋_GB2312" w:eastAsia="仿宋_GB2312" w:hAnsiTheme="minorEastAsia"/>
          <w:sz w:val="28"/>
          <w:szCs w:val="28"/>
        </w:rPr>
      </w:pPr>
      <w:r>
        <w:rPr>
          <w:rFonts w:hint="eastAsia" w:ascii="仿宋_GB2312" w:eastAsia="仿宋_GB2312" w:hAnsiTheme="minorEastAsia"/>
          <w:sz w:val="28"/>
          <w:szCs w:val="28"/>
        </w:rPr>
        <w:t xml:space="preserve">进入报名界面，请根据贵公司的业务安排选择投标联系人（有合法的公司和法人授权的业务联系人），该指定投标联系人为贵公司注册资料录入的联系人之一，将会代表贵公司收到本次投标的相关短信提醒，如中标短信等。勾选需要参加报名的标包，点击【报名】完成报名。如下图： </w:t>
      </w:r>
    </w:p>
    <w:p>
      <w:pPr>
        <w:rPr>
          <w:rFonts w:hint="eastAsia" w:ascii="仿宋_GB2312" w:eastAsia="仿宋_GB2312" w:hAnsiTheme="minorEastAsia"/>
          <w:sz w:val="28"/>
        </w:rPr>
      </w:pPr>
      <w:r>
        <w:rPr>
          <w:rFonts w:asciiTheme="minorEastAsia" w:hAnsiTheme="minorEastAsia" w:eastAsiaTheme="minorEastAsia"/>
          <w:sz w:val="28"/>
          <w:szCs w:val="28"/>
        </w:rPr>
        <w:drawing>
          <wp:inline distT="0" distB="0" distL="114300" distR="114300">
            <wp:extent cx="5270500" cy="3162935"/>
            <wp:effectExtent l="0" t="0" r="0" b="12065"/>
            <wp:docPr id="1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6"/>
                    <pic:cNvPicPr>
                      <a:picLocks noChangeAspect="1"/>
                    </pic:cNvPicPr>
                  </pic:nvPicPr>
                  <pic:blipFill>
                    <a:blip r:embed="rId14" cstate="print"/>
                    <a:stretch>
                      <a:fillRect/>
                    </a:stretch>
                  </pic:blipFill>
                  <pic:spPr>
                    <a:xfrm>
                      <a:off x="0" y="0"/>
                      <a:ext cx="5270500" cy="3162935"/>
                    </a:xfrm>
                    <a:prstGeom prst="rect">
                      <a:avLst/>
                    </a:prstGeom>
                    <a:noFill/>
                    <a:ln>
                      <a:noFill/>
                    </a:ln>
                  </pic:spPr>
                </pic:pic>
              </a:graphicData>
            </a:graphic>
          </wp:inline>
        </w:drawing>
      </w:r>
    </w:p>
    <w:p>
      <w:pPr>
        <w:rPr>
          <w:rFonts w:hint="eastAsia" w:ascii="仿宋_GB2312" w:eastAsia="仿宋_GB2312" w:hAnsiTheme="minorEastAsia"/>
          <w:sz w:val="28"/>
        </w:rPr>
      </w:pPr>
    </w:p>
    <w:p>
      <w:pPr>
        <w:rPr>
          <w:rFonts w:hint="eastAsia" w:ascii="仿宋_GB2312" w:eastAsia="仿宋_GB2312" w:hAnsiTheme="minorEastAsia"/>
          <w:sz w:val="28"/>
          <w:szCs w:val="28"/>
        </w:rPr>
      </w:pPr>
      <w:r>
        <w:rPr>
          <w:rFonts w:hint="eastAsia" w:ascii="仿宋_GB2312" w:eastAsia="仿宋_GB2312" w:hAnsiTheme="minorEastAsia"/>
          <w:sz w:val="28"/>
        </w:rPr>
        <w:t>2、</w:t>
      </w:r>
      <w:r>
        <w:rPr>
          <w:rFonts w:hint="eastAsia" w:ascii="仿宋_GB2312" w:eastAsia="仿宋_GB2312" w:hAnsiTheme="minorEastAsia"/>
          <w:sz w:val="28"/>
          <w:szCs w:val="28"/>
        </w:rPr>
        <w:t>项目信息：查看和下载招标方案项目相关的标书文件。</w:t>
      </w:r>
    </w:p>
    <w:p>
      <w:pPr>
        <w:rPr>
          <w:rFonts w:hint="eastAsia" w:ascii="仿宋_GB2312" w:eastAsia="仿宋_GB2312" w:hAnsiTheme="minorEastAsia"/>
          <w:sz w:val="28"/>
          <w:szCs w:val="28"/>
        </w:rPr>
      </w:pPr>
      <w:r>
        <w:rPr>
          <w:rFonts w:hint="eastAsia" w:ascii="仿宋_GB2312" w:eastAsia="仿宋_GB2312" w:hAnsiTheme="minorEastAsia"/>
          <w:sz w:val="28"/>
          <w:szCs w:val="28"/>
        </w:rPr>
        <w:t>报名后点击项目信息，可查看项目基础信息和下载招标方案的相关附件。为了保证各参标供应商的权益，请务必认真阅读和理解参加招标的内容信息（包括系统直接显示的基本信息，</w:t>
      </w:r>
      <w:r>
        <w:rPr>
          <w:rFonts w:hint="eastAsia" w:ascii="仿宋_GB2312" w:eastAsia="仿宋_GB2312" w:hAnsiTheme="minorEastAsia"/>
          <w:b/>
          <w:bCs/>
          <w:color w:val="FF0000"/>
          <w:sz w:val="28"/>
          <w:szCs w:val="28"/>
          <w:u w:val="single"/>
          <w:lang w:val="en-US" w:eastAsia="zh-CN"/>
        </w:rPr>
        <w:t>必须</w:t>
      </w:r>
      <w:r>
        <w:rPr>
          <w:rFonts w:hint="eastAsia" w:ascii="仿宋_GB2312" w:eastAsia="仿宋_GB2312" w:hAnsiTheme="minorEastAsia"/>
          <w:b/>
          <w:bCs/>
          <w:color w:val="FF0000"/>
          <w:sz w:val="28"/>
          <w:szCs w:val="28"/>
          <w:u w:val="single"/>
        </w:rPr>
        <w:t>下载的招标方案相关文件的内容等</w:t>
      </w:r>
      <w:r>
        <w:rPr>
          <w:rFonts w:hint="eastAsia" w:ascii="仿宋_GB2312" w:eastAsia="仿宋_GB2312" w:hAnsiTheme="minorEastAsia"/>
          <w:sz w:val="28"/>
          <w:szCs w:val="28"/>
        </w:rPr>
        <w:t>），并且根据我司相关招标公告、文件等内容所示的要求进行招投标业务操作。如对招标有疑问可以通过项目质疑功能或线下电话咨询我司招标发起联系人。如图：</w:t>
      </w:r>
    </w:p>
    <w:p>
      <w:pPr>
        <w:rPr>
          <w:rFonts w:hint="eastAsia" w:ascii="仿宋_GB2312" w:eastAsia="仿宋_GB2312" w:hAnsiTheme="minorEastAsia"/>
          <w:sz w:val="28"/>
          <w:szCs w:val="28"/>
        </w:rPr>
      </w:pPr>
      <w:r>
        <w:rPr>
          <w:rFonts w:asciiTheme="minorEastAsia" w:hAnsiTheme="minorEastAsia" w:eastAsiaTheme="minorEastAsia"/>
          <w:sz w:val="28"/>
          <w:szCs w:val="28"/>
        </w:rPr>
        <w:drawing>
          <wp:inline distT="0" distB="0" distL="114300" distR="114300">
            <wp:extent cx="5267325" cy="2155825"/>
            <wp:effectExtent l="19050" t="0" r="9459"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15" cstate="print"/>
                    <a:stretch>
                      <a:fillRect/>
                    </a:stretch>
                  </pic:blipFill>
                  <pic:spPr>
                    <a:xfrm>
                      <a:off x="0" y="0"/>
                      <a:ext cx="5270500" cy="2157620"/>
                    </a:xfrm>
                    <a:prstGeom prst="rect">
                      <a:avLst/>
                    </a:prstGeom>
                    <a:noFill/>
                    <a:ln>
                      <a:noFill/>
                    </a:ln>
                  </pic:spPr>
                </pic:pic>
              </a:graphicData>
            </a:graphic>
          </wp:inline>
        </w:drawing>
      </w:r>
      <w:r>
        <w:rPr>
          <w:rFonts w:hint="eastAsia" w:ascii="仿宋_GB2312" w:eastAsia="仿宋_GB2312" w:hAnsiTheme="minorEastAsia"/>
          <w:sz w:val="28"/>
        </w:rPr>
        <w:t>3、</w:t>
      </w:r>
      <w:r>
        <w:rPr>
          <w:rFonts w:hint="eastAsia" w:ascii="仿宋_GB2312" w:eastAsia="仿宋_GB2312" w:hAnsiTheme="minorEastAsia"/>
          <w:sz w:val="28"/>
          <w:szCs w:val="28"/>
        </w:rPr>
        <w:t>文件下载：下载招标项目报价相关的标书文件。</w:t>
      </w:r>
    </w:p>
    <w:p>
      <w:pPr>
        <w:rPr>
          <w:rFonts w:hint="eastAsia" w:ascii="仿宋_GB2312" w:eastAsia="仿宋_GB2312" w:hAnsiTheme="minorEastAsia"/>
          <w:sz w:val="28"/>
          <w:szCs w:val="28"/>
        </w:rPr>
      </w:pPr>
      <w:r>
        <w:rPr>
          <w:rFonts w:hint="eastAsia" w:ascii="仿宋_GB2312" w:eastAsia="仿宋_GB2312" w:hAnsiTheme="minorEastAsia"/>
          <w:sz w:val="28"/>
          <w:szCs w:val="28"/>
        </w:rPr>
        <w:t>a.执行操作路径：项目管理&gt;我参与的项目&gt;参与项目&gt;文件下载，操作进入项目列表，对应下载本次标的的招标文件。如下图：</w:t>
      </w:r>
    </w:p>
    <w:p>
      <w:pPr>
        <w:rPr>
          <w:rFonts w:hint="eastAsia" w:asciiTheme="minorEastAsia" w:hAnsiTheme="minorEastAsia" w:eastAsiaTheme="minorEastAsia"/>
          <w:sz w:val="28"/>
          <w:szCs w:val="28"/>
        </w:rPr>
      </w:pPr>
      <w:r>
        <w:rPr>
          <w:rFonts w:asciiTheme="minorEastAsia" w:hAnsiTheme="minorEastAsia" w:eastAsiaTheme="minorEastAsia"/>
          <w:sz w:val="28"/>
          <w:szCs w:val="28"/>
        </w:rPr>
        <w:drawing>
          <wp:inline distT="0" distB="0" distL="114300" distR="114300">
            <wp:extent cx="5272405" cy="2353945"/>
            <wp:effectExtent l="0" t="0" r="10795" b="8255"/>
            <wp:docPr id="12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0"/>
                    <pic:cNvPicPr>
                      <a:picLocks noChangeAspect="1"/>
                    </pic:cNvPicPr>
                  </pic:nvPicPr>
                  <pic:blipFill>
                    <a:blip r:embed="rId16" cstate="print"/>
                    <a:stretch>
                      <a:fillRect/>
                    </a:stretch>
                  </pic:blipFill>
                  <pic:spPr>
                    <a:xfrm>
                      <a:off x="0" y="0"/>
                      <a:ext cx="5272405" cy="2353945"/>
                    </a:xfrm>
                    <a:prstGeom prst="rect">
                      <a:avLst/>
                    </a:prstGeom>
                    <a:noFill/>
                    <a:ln>
                      <a:noFill/>
                    </a:ln>
                  </pic:spPr>
                </pic:pic>
              </a:graphicData>
            </a:graphic>
          </wp:inline>
        </w:drawing>
      </w:r>
    </w:p>
    <w:p>
      <w:pPr>
        <w:spacing w:line="400" w:lineRule="exact"/>
        <w:rPr>
          <w:rFonts w:hint="eastAsia" w:ascii="仿宋_GB2312" w:eastAsia="仿宋_GB2312" w:hAnsiTheme="minorEastAsia"/>
          <w:sz w:val="28"/>
          <w:szCs w:val="28"/>
        </w:rPr>
      </w:pPr>
      <w:r>
        <w:rPr>
          <w:rFonts w:hint="eastAsia" w:ascii="仿宋_GB2312" w:eastAsia="仿宋_GB2312" w:hAnsiTheme="minorEastAsia"/>
          <w:sz w:val="28"/>
          <w:szCs w:val="28"/>
        </w:rPr>
        <w:t>b. 为了保证各参标供应商的权益，请务必认真阅读和理解参加招标的内容信息（包括系统直接显示的基本信息，</w:t>
      </w:r>
      <w:r>
        <w:rPr>
          <w:rFonts w:hint="eastAsia" w:ascii="仿宋_GB2312" w:eastAsia="仿宋_GB2312" w:hAnsiTheme="minorEastAsia"/>
          <w:b/>
          <w:bCs/>
          <w:color w:val="FF0000"/>
          <w:sz w:val="28"/>
          <w:szCs w:val="28"/>
          <w:u w:val="single"/>
          <w:lang w:val="en-US" w:eastAsia="zh-CN"/>
        </w:rPr>
        <w:t>必须</w:t>
      </w:r>
      <w:r>
        <w:rPr>
          <w:rFonts w:hint="eastAsia" w:ascii="仿宋_GB2312" w:eastAsia="仿宋_GB2312" w:hAnsiTheme="minorEastAsia"/>
          <w:b/>
          <w:bCs/>
          <w:color w:val="FF0000"/>
          <w:sz w:val="28"/>
          <w:szCs w:val="28"/>
          <w:u w:val="single"/>
        </w:rPr>
        <w:t>下载的招标方案相关文件的内容等</w:t>
      </w:r>
      <w:r>
        <w:rPr>
          <w:rFonts w:hint="eastAsia" w:ascii="仿宋_GB2312" w:eastAsia="仿宋_GB2312" w:hAnsiTheme="minorEastAsia"/>
          <w:sz w:val="28"/>
          <w:szCs w:val="28"/>
        </w:rPr>
        <w:t>），并且根据我司相关招标公告、文件等内容所示的要求进行招投标业务操作。如对招标有疑问可以通过项目质疑功能或线下电话咨询我司招标发起联系人。点击【招标文件】下载，弹出保存确认框，保存到本地。如下图：</w:t>
      </w:r>
    </w:p>
    <w:p>
      <w:pPr>
        <w:rPr>
          <w:rFonts w:hint="eastAsia" w:ascii="仿宋_GB2312" w:eastAsia="仿宋_GB2312" w:hAnsiTheme="minorEastAsia"/>
          <w:sz w:val="28"/>
        </w:rPr>
      </w:pPr>
      <w:r>
        <w:rPr>
          <w:rFonts w:asciiTheme="minorEastAsia" w:hAnsiTheme="minorEastAsia" w:eastAsiaTheme="minorEastAsia"/>
          <w:sz w:val="28"/>
          <w:szCs w:val="28"/>
        </w:rPr>
        <w:drawing>
          <wp:inline distT="0" distB="0" distL="114300" distR="114300">
            <wp:extent cx="5266055" cy="2697480"/>
            <wp:effectExtent l="0" t="0" r="4445" b="762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7" cstate="print"/>
                    <a:stretch>
                      <a:fillRect/>
                    </a:stretch>
                  </pic:blipFill>
                  <pic:spPr>
                    <a:xfrm>
                      <a:off x="0" y="0"/>
                      <a:ext cx="5266055" cy="2697480"/>
                    </a:xfrm>
                    <a:prstGeom prst="rect">
                      <a:avLst/>
                    </a:prstGeom>
                    <a:noFill/>
                    <a:ln>
                      <a:noFill/>
                    </a:ln>
                  </pic:spPr>
                </pic:pic>
              </a:graphicData>
            </a:graphic>
          </wp:inline>
        </w:drawing>
      </w:r>
    </w:p>
    <w:p>
      <w:pPr>
        <w:rPr>
          <w:rFonts w:hint="eastAsia" w:ascii="仿宋_GB2312" w:eastAsia="仿宋_GB2312" w:hAnsiTheme="minorEastAsia"/>
          <w:sz w:val="28"/>
        </w:rPr>
      </w:pPr>
    </w:p>
    <w:p>
      <w:pPr>
        <w:rPr>
          <w:rFonts w:hint="eastAsia" w:ascii="仿宋_GB2312" w:eastAsia="仿宋_GB2312" w:hAnsiTheme="minorEastAsia"/>
          <w:sz w:val="28"/>
        </w:rPr>
      </w:pPr>
    </w:p>
    <w:p>
      <w:pPr>
        <w:rPr>
          <w:rFonts w:hint="eastAsia" w:ascii="仿宋_GB2312" w:eastAsia="仿宋_GB2312" w:hAnsiTheme="minorEastAsia"/>
          <w:sz w:val="28"/>
          <w:szCs w:val="28"/>
        </w:rPr>
      </w:pPr>
      <w:r>
        <w:rPr>
          <w:rFonts w:hint="eastAsia" w:ascii="仿宋_GB2312" w:eastAsia="仿宋_GB2312" w:hAnsiTheme="minorEastAsia"/>
          <w:sz w:val="28"/>
        </w:rPr>
        <w:t>4、</w:t>
      </w:r>
      <w:r>
        <w:rPr>
          <w:rFonts w:hint="eastAsia" w:ascii="仿宋_GB2312" w:eastAsia="仿宋_GB2312" w:hAnsiTheme="minorEastAsia"/>
          <w:sz w:val="28"/>
          <w:szCs w:val="28"/>
        </w:rPr>
        <w:t>保证金缴纳：录入招标要求的保证金缴纳情况。</w:t>
      </w:r>
    </w:p>
    <w:p>
      <w:pPr>
        <w:rPr>
          <w:rFonts w:hint="eastAsia" w:ascii="仿宋_GB2312" w:eastAsia="仿宋_GB2312" w:hAnsiTheme="minorEastAsia"/>
          <w:sz w:val="28"/>
          <w:szCs w:val="28"/>
        </w:rPr>
      </w:pPr>
      <w:r>
        <w:rPr>
          <w:rFonts w:hint="eastAsia" w:ascii="仿宋_GB2312" w:eastAsia="仿宋_GB2312" w:hAnsiTheme="minorEastAsia"/>
          <w:sz w:val="28"/>
          <w:szCs w:val="28"/>
        </w:rPr>
        <w:t>a.执行操作路径：项目管理&gt;我参与的项目&gt;参与项目操作。点击费用缴纳进入项目列表界面如下图：</w:t>
      </w:r>
    </w:p>
    <w:p>
      <w:pPr>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114300" distR="114300">
            <wp:extent cx="5266690" cy="1969770"/>
            <wp:effectExtent l="0" t="0" r="3810" b="11430"/>
            <wp:docPr id="1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7"/>
                    <pic:cNvPicPr>
                      <a:picLocks noChangeAspect="1"/>
                    </pic:cNvPicPr>
                  </pic:nvPicPr>
                  <pic:blipFill>
                    <a:blip r:embed="rId18" cstate="print"/>
                    <a:stretch>
                      <a:fillRect/>
                    </a:stretch>
                  </pic:blipFill>
                  <pic:spPr>
                    <a:xfrm>
                      <a:off x="0" y="0"/>
                      <a:ext cx="5266690" cy="1969770"/>
                    </a:xfrm>
                    <a:prstGeom prst="rect">
                      <a:avLst/>
                    </a:prstGeom>
                    <a:noFill/>
                    <a:ln>
                      <a:noFill/>
                    </a:ln>
                  </pic:spPr>
                </pic:pic>
              </a:graphicData>
            </a:graphic>
          </wp:inline>
        </w:drawing>
      </w:r>
    </w:p>
    <w:p>
      <w:pPr>
        <w:spacing w:line="400" w:lineRule="exact"/>
        <w:rPr>
          <w:rFonts w:hint="eastAsia" w:ascii="仿宋_GB2312" w:eastAsia="仿宋_GB2312" w:hAnsiTheme="minorEastAsia"/>
          <w:sz w:val="28"/>
          <w:szCs w:val="28"/>
        </w:rPr>
      </w:pPr>
      <w:r>
        <w:rPr>
          <w:rFonts w:hint="eastAsia" w:ascii="仿宋_GB2312" w:eastAsia="仿宋_GB2312" w:hAnsiTheme="minorEastAsia"/>
          <w:sz w:val="28"/>
          <w:szCs w:val="28"/>
        </w:rPr>
        <w:t>b.上传支付凭证（银行汇款回执单据扫描件、网银付款页截图等，要求相关账号、金额、摘要等信息清晰可见。），点击提交。提交后，招标单位财务人员对订单进行确认，附件有问题订单会退回，退回后可重新上传附件提交。如本次招标项目不需要缴纳保证金则不需要进行任何操作。如下图：</w:t>
      </w:r>
    </w:p>
    <w:p>
      <w:pPr>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114300" distR="114300">
            <wp:extent cx="5266690" cy="1861820"/>
            <wp:effectExtent l="0" t="0" r="3810" b="5080"/>
            <wp:docPr id="1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8"/>
                    <pic:cNvPicPr>
                      <a:picLocks noChangeAspect="1"/>
                    </pic:cNvPicPr>
                  </pic:nvPicPr>
                  <pic:blipFill>
                    <a:blip r:embed="rId19" cstate="print"/>
                    <a:stretch>
                      <a:fillRect/>
                    </a:stretch>
                  </pic:blipFill>
                  <pic:spPr>
                    <a:xfrm>
                      <a:off x="0" y="0"/>
                      <a:ext cx="5266690" cy="1861820"/>
                    </a:xfrm>
                    <a:prstGeom prst="rect">
                      <a:avLst/>
                    </a:prstGeom>
                    <a:noFill/>
                    <a:ln>
                      <a:noFill/>
                    </a:ln>
                  </pic:spPr>
                </pic:pic>
              </a:graphicData>
            </a:graphic>
          </wp:inline>
        </w:drawing>
      </w:r>
    </w:p>
    <w:p>
      <w:pPr>
        <w:spacing w:line="400" w:lineRule="exact"/>
        <w:rPr>
          <w:rFonts w:hint="eastAsia" w:asciiTheme="minorEastAsia" w:hAnsiTheme="minorEastAsia" w:eastAsiaTheme="minorEastAsia"/>
          <w:sz w:val="28"/>
          <w:szCs w:val="28"/>
        </w:rPr>
      </w:pPr>
    </w:p>
    <w:p>
      <w:pPr>
        <w:spacing w:line="400" w:lineRule="exact"/>
        <w:rPr>
          <w:rFonts w:hint="eastAsia" w:asciiTheme="minorEastAsia" w:hAnsiTheme="minorEastAsia" w:eastAsiaTheme="minorEastAsia"/>
          <w:sz w:val="28"/>
          <w:szCs w:val="28"/>
        </w:rPr>
      </w:pPr>
    </w:p>
    <w:p>
      <w:pPr>
        <w:spacing w:line="400" w:lineRule="exact"/>
        <w:rPr>
          <w:rFonts w:hint="eastAsia" w:asciiTheme="minorEastAsia" w:hAnsiTheme="minorEastAsia" w:eastAsiaTheme="minorEastAsia"/>
          <w:sz w:val="28"/>
          <w:szCs w:val="28"/>
        </w:rPr>
      </w:pPr>
    </w:p>
    <w:p>
      <w:pPr>
        <w:spacing w:line="400" w:lineRule="exact"/>
        <w:rPr>
          <w:rFonts w:hint="eastAsia" w:asciiTheme="minorEastAsia" w:hAnsiTheme="minorEastAsia" w:eastAsiaTheme="minorEastAsia"/>
          <w:sz w:val="28"/>
          <w:szCs w:val="28"/>
        </w:rPr>
      </w:pPr>
    </w:p>
    <w:p>
      <w:pPr>
        <w:spacing w:line="400" w:lineRule="exact"/>
        <w:rPr>
          <w:rFonts w:hint="eastAsia" w:asciiTheme="minorEastAsia" w:hAnsiTheme="minorEastAsia" w:eastAsiaTheme="minorEastAsia"/>
          <w:sz w:val="28"/>
          <w:szCs w:val="28"/>
        </w:rPr>
      </w:pPr>
    </w:p>
    <w:p>
      <w:pPr>
        <w:spacing w:line="400" w:lineRule="exact"/>
        <w:rPr>
          <w:rFonts w:hint="eastAsia" w:asciiTheme="minorEastAsia" w:hAnsiTheme="minorEastAsia" w:eastAsiaTheme="minorEastAsia"/>
          <w:sz w:val="28"/>
          <w:szCs w:val="28"/>
        </w:rPr>
      </w:pPr>
    </w:p>
    <w:p>
      <w:pPr>
        <w:spacing w:line="400" w:lineRule="exact"/>
        <w:rPr>
          <w:rFonts w:hint="eastAsia" w:asciiTheme="minorEastAsia" w:hAnsiTheme="minorEastAsia" w:eastAsiaTheme="minorEastAsia"/>
          <w:sz w:val="28"/>
          <w:szCs w:val="28"/>
        </w:rPr>
      </w:pPr>
    </w:p>
    <w:p>
      <w:pPr>
        <w:spacing w:line="400" w:lineRule="exact"/>
        <w:rPr>
          <w:rFonts w:asciiTheme="minorEastAsia" w:hAnsiTheme="minorEastAsia" w:eastAsiaTheme="minorEastAsia"/>
          <w:sz w:val="28"/>
          <w:szCs w:val="28"/>
        </w:rPr>
      </w:pPr>
    </w:p>
    <w:p>
      <w:pPr>
        <w:spacing w:line="400" w:lineRule="exact"/>
        <w:outlineLvl w:val="3"/>
        <w:rPr>
          <w:rFonts w:hint="eastAsia" w:ascii="仿宋_GB2312" w:eastAsia="仿宋_GB2312" w:hAnsiTheme="minorEastAsia"/>
          <w:sz w:val="28"/>
          <w:szCs w:val="28"/>
        </w:rPr>
      </w:pPr>
      <w:r>
        <w:rPr>
          <w:rFonts w:hint="eastAsia" w:ascii="仿宋_GB2312" w:eastAsia="仿宋_GB2312" w:hAnsiTheme="minorEastAsia"/>
          <w:sz w:val="28"/>
          <w:szCs w:val="28"/>
        </w:rPr>
        <w:t>5、项目质疑：对招标相关内容存在疑问的地方提出问题。但是需要在质疑截止时间前提交，截止时间后提问不作回答；质疑内容可以另外制作成其他办公文档直接用附件上传。</w:t>
      </w:r>
    </w:p>
    <w:p>
      <w:pPr>
        <w:numPr>
          <w:ilvl w:val="0"/>
          <w:numId w:val="2"/>
        </w:numPr>
        <w:spacing w:line="400" w:lineRule="exact"/>
        <w:ind w:left="0"/>
        <w:rPr>
          <w:rFonts w:hint="eastAsia" w:ascii="仿宋_GB2312" w:eastAsia="仿宋_GB2312" w:hAnsiTheme="minorEastAsia"/>
          <w:sz w:val="28"/>
          <w:szCs w:val="28"/>
        </w:rPr>
      </w:pPr>
      <w:r>
        <w:rPr>
          <w:rFonts w:hint="eastAsia" w:ascii="仿宋_GB2312" w:eastAsia="仿宋_GB2312" w:hAnsiTheme="minorEastAsia"/>
          <w:sz w:val="28"/>
          <w:szCs w:val="28"/>
        </w:rPr>
        <w:t>点击项目质疑进入项目质疑界面，如下图:</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114300" distR="114300">
            <wp:extent cx="5266690" cy="1657985"/>
            <wp:effectExtent l="19050" t="0" r="0" b="0"/>
            <wp:docPr id="7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0"/>
                    <pic:cNvPicPr>
                      <a:picLocks noChangeAspect="1"/>
                    </pic:cNvPicPr>
                  </pic:nvPicPr>
                  <pic:blipFill>
                    <a:blip r:embed="rId20" cstate="print"/>
                    <a:stretch>
                      <a:fillRect/>
                    </a:stretch>
                  </pic:blipFill>
                  <pic:spPr>
                    <a:xfrm>
                      <a:off x="0" y="0"/>
                      <a:ext cx="5270500" cy="1659307"/>
                    </a:xfrm>
                    <a:prstGeom prst="rect">
                      <a:avLst/>
                    </a:prstGeom>
                    <a:noFill/>
                    <a:ln>
                      <a:noFill/>
                    </a:ln>
                  </pic:spPr>
                </pic:pic>
              </a:graphicData>
            </a:graphic>
          </wp:inline>
        </w:drawing>
      </w:r>
    </w:p>
    <w:p>
      <w:pPr>
        <w:numPr>
          <w:ilvl w:val="0"/>
          <w:numId w:val="2"/>
        </w:numPr>
        <w:tabs>
          <w:tab w:val="left" w:pos="0"/>
          <w:tab w:val="clear" w:pos="312"/>
        </w:tabs>
        <w:spacing w:line="400" w:lineRule="exact"/>
        <w:ind w:left="0"/>
        <w:rPr>
          <w:rFonts w:hint="eastAsia" w:ascii="仿宋_GB2312" w:eastAsia="仿宋_GB2312" w:hAnsiTheme="minorEastAsia"/>
          <w:sz w:val="28"/>
          <w:szCs w:val="28"/>
        </w:rPr>
      </w:pPr>
      <w:r>
        <w:rPr>
          <w:rFonts w:hint="eastAsia" w:ascii="仿宋_GB2312" w:eastAsia="仿宋_GB2312" w:hAnsiTheme="minorEastAsia"/>
          <w:sz w:val="28"/>
          <w:szCs w:val="28"/>
        </w:rPr>
        <w:t>点击上图新增按钮进入质疑编辑界面，勾选标包，填写相关质疑内容后保存并提交，如下图：</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114300" distR="114300">
            <wp:extent cx="5268595" cy="1828800"/>
            <wp:effectExtent l="19050" t="0" r="8190" b="0"/>
            <wp:docPr id="14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7"/>
                    <pic:cNvPicPr>
                      <a:picLocks noChangeAspect="1"/>
                    </pic:cNvPicPr>
                  </pic:nvPicPr>
                  <pic:blipFill>
                    <a:blip r:embed="rId21" cstate="print"/>
                    <a:stretch>
                      <a:fillRect/>
                    </a:stretch>
                  </pic:blipFill>
                  <pic:spPr>
                    <a:xfrm>
                      <a:off x="0" y="0"/>
                      <a:ext cx="5273675" cy="1830541"/>
                    </a:xfrm>
                    <a:prstGeom prst="rect">
                      <a:avLst/>
                    </a:prstGeom>
                    <a:noFill/>
                    <a:ln>
                      <a:noFill/>
                    </a:ln>
                  </pic:spPr>
                </pic:pic>
              </a:graphicData>
            </a:graphic>
          </wp:inline>
        </w:drawing>
      </w:r>
    </w:p>
    <w:p>
      <w:pPr>
        <w:numPr>
          <w:ilvl w:val="0"/>
          <w:numId w:val="2"/>
        </w:numPr>
        <w:tabs>
          <w:tab w:val="clear" w:pos="312"/>
        </w:tabs>
        <w:spacing w:line="400" w:lineRule="exact"/>
        <w:ind w:left="0"/>
        <w:rPr>
          <w:rFonts w:hint="eastAsia" w:ascii="仿宋_GB2312" w:eastAsia="仿宋_GB2312" w:hAnsiTheme="minorEastAsia"/>
          <w:sz w:val="28"/>
          <w:szCs w:val="28"/>
        </w:rPr>
      </w:pPr>
      <w:r>
        <w:rPr>
          <w:rFonts w:hint="eastAsia" w:ascii="仿宋_GB2312" w:eastAsia="仿宋_GB2312" w:hAnsiTheme="minorEastAsia"/>
          <w:sz w:val="28"/>
          <w:szCs w:val="28"/>
        </w:rPr>
        <w:t>我司招标经办人会在收答疑后尽快回复，供应商可以不定时上线刷新网页状态后可进行查看，如下图：</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114300" distR="114300">
            <wp:extent cx="5271770" cy="777875"/>
            <wp:effectExtent l="19050" t="0" r="4691" b="0"/>
            <wp:docPr id="14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8"/>
                    <pic:cNvPicPr>
                      <a:picLocks noChangeAspect="1"/>
                    </pic:cNvPicPr>
                  </pic:nvPicPr>
                  <pic:blipFill>
                    <a:blip r:embed="rId22" cstate="print"/>
                    <a:stretch>
                      <a:fillRect/>
                    </a:stretch>
                  </pic:blipFill>
                  <pic:spPr>
                    <a:xfrm>
                      <a:off x="0" y="0"/>
                      <a:ext cx="5273675" cy="778146"/>
                    </a:xfrm>
                    <a:prstGeom prst="rect">
                      <a:avLst/>
                    </a:prstGeom>
                    <a:noFill/>
                    <a:ln>
                      <a:noFill/>
                    </a:ln>
                  </pic:spPr>
                </pic:pic>
              </a:graphicData>
            </a:graphic>
          </wp:inline>
        </w:drawing>
      </w:r>
    </w:p>
    <w:p>
      <w:pPr>
        <w:spacing w:line="360" w:lineRule="auto"/>
        <w:rPr>
          <w:rFonts w:hint="eastAsia" w:asciiTheme="minorEastAsia" w:hAnsiTheme="minorEastAsia" w:eastAsiaTheme="minorEastAsia"/>
          <w:sz w:val="28"/>
          <w:szCs w:val="28"/>
        </w:rPr>
      </w:pPr>
      <w:r>
        <w:rPr>
          <w:rFonts w:asciiTheme="minorEastAsia" w:hAnsiTheme="minorEastAsia" w:eastAsiaTheme="minorEastAsia"/>
          <w:sz w:val="28"/>
          <w:szCs w:val="28"/>
        </w:rPr>
        <w:drawing>
          <wp:inline distT="0" distB="0" distL="114300" distR="114300">
            <wp:extent cx="5261610" cy="2053590"/>
            <wp:effectExtent l="1905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23" cstate="print"/>
                    <a:stretch>
                      <a:fillRect/>
                    </a:stretch>
                  </pic:blipFill>
                  <pic:spPr>
                    <a:xfrm>
                      <a:off x="0" y="0"/>
                      <a:ext cx="5267325" cy="2056082"/>
                    </a:xfrm>
                    <a:prstGeom prst="rect">
                      <a:avLst/>
                    </a:prstGeom>
                    <a:noFill/>
                    <a:ln>
                      <a:noFill/>
                    </a:ln>
                  </pic:spPr>
                </pic:pic>
              </a:graphicData>
            </a:graphic>
          </wp:inline>
        </w:drawing>
      </w:r>
    </w:p>
    <w:p>
      <w:pPr>
        <w:spacing w:line="400" w:lineRule="exact"/>
        <w:outlineLvl w:val="3"/>
        <w:rPr>
          <w:rFonts w:hint="eastAsia" w:ascii="仿宋_GB2312" w:eastAsia="仿宋_GB2312" w:hAnsiTheme="minorEastAsia"/>
          <w:sz w:val="28"/>
          <w:szCs w:val="28"/>
        </w:rPr>
      </w:pPr>
      <w:r>
        <w:rPr>
          <w:rFonts w:hint="eastAsia" w:ascii="仿宋_GB2312" w:eastAsia="仿宋_GB2312" w:hAnsiTheme="minorEastAsia"/>
          <w:sz w:val="28"/>
          <w:szCs w:val="28"/>
        </w:rPr>
        <w:t>6、项目澄清：发标方招标项目出现变动情况进行的项目补充说明，供应商需要根据澄清判断进行补充操作。</w:t>
      </w:r>
    </w:p>
    <w:p>
      <w:pPr>
        <w:numPr>
          <w:ilvl w:val="0"/>
          <w:numId w:val="3"/>
        </w:numPr>
        <w:spacing w:line="400" w:lineRule="exact"/>
        <w:ind w:left="0"/>
        <w:rPr>
          <w:rFonts w:hint="eastAsia" w:ascii="仿宋_GB2312" w:eastAsia="仿宋_GB2312" w:hAnsiTheme="minorEastAsia"/>
          <w:sz w:val="28"/>
          <w:szCs w:val="28"/>
        </w:rPr>
      </w:pPr>
      <w:r>
        <w:rPr>
          <w:rFonts w:hint="eastAsia" w:ascii="仿宋_GB2312" w:eastAsia="仿宋_GB2312" w:hAnsiTheme="minorEastAsia"/>
          <w:sz w:val="28"/>
          <w:szCs w:val="28"/>
        </w:rPr>
        <w:t>点击项目澄清进入项目澄清界面，经办人发布项目澄清后，此处会展示经办人澄清相关内容。建议各参标供应商在相关截止时间结束前，请不定时、及时登录系统查阅是否有出现新的招标项目澄清，并及时根据澄清要求进行操作。如下图：</w:t>
      </w:r>
    </w:p>
    <w:p>
      <w:pPr>
        <w:spacing w:line="360" w:lineRule="auto"/>
        <w:rPr>
          <w:rFonts w:hint="eastAsia" w:ascii="仿宋_GB2312" w:eastAsia="仿宋_GB2312" w:hAnsiTheme="minorEastAsia"/>
          <w:sz w:val="28"/>
        </w:rPr>
      </w:pPr>
      <w:r>
        <w:rPr>
          <w:rFonts w:asciiTheme="minorEastAsia" w:hAnsiTheme="minorEastAsia" w:eastAsiaTheme="minorEastAsia"/>
          <w:sz w:val="28"/>
          <w:szCs w:val="28"/>
        </w:rPr>
        <w:drawing>
          <wp:inline distT="0" distB="0" distL="114300" distR="114300">
            <wp:extent cx="5262245" cy="1978660"/>
            <wp:effectExtent l="19050" t="0" r="0" b="0"/>
            <wp:docPr id="14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23"/>
                    <pic:cNvPicPr>
                      <a:picLocks noChangeAspect="1"/>
                    </pic:cNvPicPr>
                  </pic:nvPicPr>
                  <pic:blipFill>
                    <a:blip r:embed="rId24" cstate="print"/>
                    <a:stretch>
                      <a:fillRect/>
                    </a:stretch>
                  </pic:blipFill>
                  <pic:spPr>
                    <a:xfrm>
                      <a:off x="0" y="0"/>
                      <a:ext cx="5270500" cy="1981883"/>
                    </a:xfrm>
                    <a:prstGeom prst="rect">
                      <a:avLst/>
                    </a:prstGeom>
                    <a:noFill/>
                    <a:ln>
                      <a:noFill/>
                    </a:ln>
                  </pic:spPr>
                </pic:pic>
              </a:graphicData>
            </a:graphic>
          </wp:inline>
        </w:drawing>
      </w:r>
    </w:p>
    <w:p>
      <w:pPr>
        <w:spacing w:line="360" w:lineRule="auto"/>
        <w:rPr>
          <w:rFonts w:hint="eastAsia" w:ascii="仿宋_GB2312" w:eastAsia="仿宋_GB2312" w:hAnsiTheme="minorEastAsia"/>
          <w:sz w:val="28"/>
        </w:rPr>
      </w:pPr>
    </w:p>
    <w:p>
      <w:pPr>
        <w:spacing w:line="400" w:lineRule="exact"/>
        <w:rPr>
          <w:rFonts w:hint="eastAsia" w:ascii="仿宋_GB2312" w:eastAsia="仿宋_GB2312" w:hAnsiTheme="minorEastAsia"/>
          <w:sz w:val="28"/>
          <w:szCs w:val="28"/>
        </w:rPr>
      </w:pPr>
      <w:r>
        <w:rPr>
          <w:rFonts w:hint="eastAsia" w:ascii="仿宋_GB2312" w:eastAsia="仿宋_GB2312" w:hAnsiTheme="minorEastAsia"/>
          <w:sz w:val="28"/>
        </w:rPr>
        <w:t>7、</w:t>
      </w:r>
      <w:r>
        <w:rPr>
          <w:rFonts w:hint="eastAsia" w:ascii="仿宋_GB2312" w:eastAsia="仿宋_GB2312" w:hAnsiTheme="minorEastAsia"/>
          <w:sz w:val="28"/>
          <w:szCs w:val="28"/>
        </w:rPr>
        <w:t>投标报价：供应商对已报名参与的标的进行报价操作。</w:t>
      </w:r>
    </w:p>
    <w:p>
      <w:pPr>
        <w:spacing w:line="400" w:lineRule="exact"/>
        <w:rPr>
          <w:rFonts w:hint="eastAsia" w:ascii="仿宋_GB2312" w:eastAsia="仿宋_GB2312" w:hAnsiTheme="minorEastAsia"/>
          <w:sz w:val="28"/>
          <w:szCs w:val="28"/>
        </w:rPr>
      </w:pPr>
      <w:r>
        <w:rPr>
          <w:rFonts w:hint="eastAsia" w:ascii="仿宋_GB2312" w:eastAsia="仿宋_GB2312" w:hAnsiTheme="minorEastAsia"/>
          <w:sz w:val="28"/>
          <w:szCs w:val="28"/>
        </w:rPr>
        <w:t>a.执行操作路径：项目管理&gt;我参与的项目&gt;参与项目&gt;报价操作进入项目列表。如下图：</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114300" distR="114300">
            <wp:extent cx="5270500" cy="1842135"/>
            <wp:effectExtent l="19050" t="0" r="5961" b="0"/>
            <wp:docPr id="7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9"/>
                    <pic:cNvPicPr>
                      <a:picLocks noChangeAspect="1"/>
                    </pic:cNvPicPr>
                  </pic:nvPicPr>
                  <pic:blipFill>
                    <a:blip r:embed="rId25" cstate="print"/>
                    <a:stretch>
                      <a:fillRect/>
                    </a:stretch>
                  </pic:blipFill>
                  <pic:spPr>
                    <a:xfrm>
                      <a:off x="0" y="0"/>
                      <a:ext cx="5272405" cy="1842978"/>
                    </a:xfrm>
                    <a:prstGeom prst="rect">
                      <a:avLst/>
                    </a:prstGeom>
                    <a:noFill/>
                    <a:ln>
                      <a:noFill/>
                    </a:ln>
                  </pic:spPr>
                </pic:pic>
              </a:graphicData>
            </a:graphic>
          </wp:inline>
        </w:drawing>
      </w:r>
    </w:p>
    <w:p>
      <w:pPr>
        <w:spacing w:line="400" w:lineRule="exact"/>
        <w:rPr>
          <w:rFonts w:hint="eastAsia" w:ascii="仿宋_GB2312" w:eastAsia="仿宋_GB2312" w:hAnsiTheme="minorEastAsia"/>
          <w:sz w:val="28"/>
          <w:szCs w:val="28"/>
        </w:rPr>
      </w:pPr>
      <w:r>
        <w:rPr>
          <w:rFonts w:hint="eastAsia" w:ascii="仿宋_GB2312" w:eastAsia="仿宋_GB2312" w:hAnsiTheme="minorEastAsia"/>
          <w:sz w:val="28"/>
          <w:szCs w:val="28"/>
        </w:rPr>
        <w:t>b.填报价格，上传报价附件及技术附件，点击【保存】并【提交】。报价需要区分明细报价、汇总报价。明细报价为招标明细目录的具体报价，需要按照目录逐项填报；汇总报价为整个项目直接总价报价。由于业务类型的不同报价要求也有所不同，请供应商认真阅读参与项目的标书资料确定报价规则要求。如药物招标报价按明细报价进行、工程招标则由明细报价与汇总报价结合或直接选用汇总报价等。附件上传区分为报价文件和技术文件，请根据不同的类型上传，每个上传功能可以多个也可以打包汇总。如下图：</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114300" distR="114300">
            <wp:extent cx="5264150" cy="2913380"/>
            <wp:effectExtent l="19050" t="0" r="0" b="0"/>
            <wp:docPr id="12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1"/>
                    <pic:cNvPicPr>
                      <a:picLocks noChangeAspect="1"/>
                    </pic:cNvPicPr>
                  </pic:nvPicPr>
                  <pic:blipFill>
                    <a:blip r:embed="rId26" cstate="print"/>
                    <a:stretch>
                      <a:fillRect/>
                    </a:stretch>
                  </pic:blipFill>
                  <pic:spPr>
                    <a:xfrm>
                      <a:off x="0" y="0"/>
                      <a:ext cx="5266690" cy="2915161"/>
                    </a:xfrm>
                    <a:prstGeom prst="rect">
                      <a:avLst/>
                    </a:prstGeom>
                    <a:noFill/>
                    <a:ln>
                      <a:noFill/>
                    </a:ln>
                  </pic:spPr>
                </pic:pic>
              </a:graphicData>
            </a:graphic>
          </wp:inline>
        </w:drawing>
      </w:r>
    </w:p>
    <w:p>
      <w:pPr>
        <w:spacing w:line="400" w:lineRule="exact"/>
        <w:rPr>
          <w:rFonts w:hint="eastAsia" w:ascii="仿宋_GB2312" w:eastAsia="仿宋_GB2312" w:hAnsiTheme="minorEastAsia"/>
          <w:sz w:val="28"/>
          <w:szCs w:val="28"/>
        </w:rPr>
      </w:pPr>
      <w:r>
        <w:rPr>
          <w:rFonts w:hint="eastAsia" w:ascii="仿宋_GB2312" w:eastAsia="仿宋_GB2312" w:hAnsiTheme="minorEastAsia"/>
          <w:sz w:val="28"/>
          <w:szCs w:val="28"/>
        </w:rPr>
        <w:t>c.提交后，可修改提交投标信息，如下图：</w:t>
      </w:r>
    </w:p>
    <w:p>
      <w:pPr>
        <w:spacing w:line="360" w:lineRule="auto"/>
        <w:rPr>
          <w:rFonts w:hint="eastAsia" w:ascii="仿宋_GB2312" w:eastAsia="仿宋_GB2312" w:hAnsiTheme="minorEastAsia"/>
          <w:sz w:val="28"/>
        </w:rPr>
      </w:pPr>
      <w:r>
        <w:rPr>
          <w:rFonts w:asciiTheme="minorEastAsia" w:hAnsiTheme="minorEastAsia" w:eastAsiaTheme="minorEastAsia"/>
          <w:sz w:val="28"/>
          <w:szCs w:val="28"/>
        </w:rPr>
        <w:drawing>
          <wp:inline distT="0" distB="0" distL="114300" distR="114300">
            <wp:extent cx="5262245" cy="3636645"/>
            <wp:effectExtent l="19050" t="0" r="0" b="0"/>
            <wp:docPr id="13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2"/>
                    <pic:cNvPicPr>
                      <a:picLocks noChangeAspect="1"/>
                    </pic:cNvPicPr>
                  </pic:nvPicPr>
                  <pic:blipFill>
                    <a:blip r:embed="rId27" cstate="print"/>
                    <a:stretch>
                      <a:fillRect/>
                    </a:stretch>
                  </pic:blipFill>
                  <pic:spPr>
                    <a:xfrm>
                      <a:off x="0" y="0"/>
                      <a:ext cx="5268595" cy="3641249"/>
                    </a:xfrm>
                    <a:prstGeom prst="rect">
                      <a:avLst/>
                    </a:prstGeom>
                    <a:noFill/>
                    <a:ln>
                      <a:noFill/>
                    </a:ln>
                  </pic:spPr>
                </pic:pic>
              </a:graphicData>
            </a:graphic>
          </wp:inline>
        </w:drawing>
      </w:r>
    </w:p>
    <w:p>
      <w:pPr>
        <w:spacing w:line="360" w:lineRule="auto"/>
        <w:rPr>
          <w:rFonts w:hint="eastAsia" w:ascii="仿宋_GB2312" w:eastAsia="仿宋_GB2312" w:hAnsiTheme="minorEastAsia"/>
          <w:sz w:val="28"/>
        </w:rPr>
      </w:pPr>
    </w:p>
    <w:p>
      <w:pPr>
        <w:spacing w:line="360" w:lineRule="auto"/>
        <w:rPr>
          <w:rFonts w:hint="eastAsia" w:ascii="仿宋_GB2312" w:eastAsia="仿宋_GB2312" w:hAnsiTheme="minorEastAsia"/>
          <w:sz w:val="28"/>
        </w:rPr>
      </w:pPr>
    </w:p>
    <w:p>
      <w:pPr>
        <w:spacing w:line="360" w:lineRule="auto"/>
        <w:rPr>
          <w:rFonts w:hint="eastAsia" w:ascii="仿宋_GB2312" w:eastAsia="仿宋_GB2312" w:hAnsiTheme="minorEastAsia"/>
          <w:sz w:val="28"/>
        </w:rPr>
      </w:pPr>
    </w:p>
    <w:p>
      <w:pPr>
        <w:spacing w:line="360" w:lineRule="auto"/>
        <w:rPr>
          <w:rFonts w:hint="eastAsia" w:ascii="仿宋_GB2312" w:eastAsia="仿宋_GB2312" w:hAnsiTheme="minorEastAsia"/>
          <w:sz w:val="28"/>
        </w:rPr>
      </w:pPr>
    </w:p>
    <w:p>
      <w:pPr>
        <w:spacing w:line="360" w:lineRule="auto"/>
        <w:rPr>
          <w:rFonts w:hint="eastAsia" w:ascii="仿宋_GB2312" w:eastAsia="仿宋_GB2312" w:hAnsiTheme="minorEastAsia"/>
          <w:sz w:val="28"/>
          <w:szCs w:val="28"/>
        </w:rPr>
      </w:pPr>
      <w:r>
        <w:rPr>
          <w:rFonts w:hint="eastAsia" w:ascii="仿宋_GB2312" w:eastAsia="仿宋_GB2312" w:hAnsiTheme="minorEastAsia"/>
          <w:sz w:val="28"/>
        </w:rPr>
        <w:t>8、</w:t>
      </w:r>
      <w:r>
        <w:rPr>
          <w:rFonts w:hint="eastAsia" w:ascii="仿宋_GB2312" w:eastAsia="仿宋_GB2312" w:hAnsiTheme="minorEastAsia"/>
          <w:sz w:val="28"/>
          <w:szCs w:val="28"/>
        </w:rPr>
        <w:t>再次报价：如果项目评审增加谈判报价等特殊情况，执行的二次报价功能。详细操作与上述的“投标报价”操作相同。</w:t>
      </w:r>
    </w:p>
    <w:p>
      <w:pPr>
        <w:spacing w:line="360" w:lineRule="auto"/>
        <w:rPr>
          <w:rFonts w:hint="eastAsia" w:ascii="仿宋_GB2312" w:eastAsia="仿宋_GB2312" w:hAnsiTheme="minorEastAsia"/>
          <w:sz w:val="28"/>
          <w:szCs w:val="28"/>
        </w:rPr>
      </w:pPr>
      <w:r>
        <w:rPr>
          <w:rFonts w:hint="eastAsia" w:ascii="仿宋_GB2312" w:eastAsia="仿宋_GB2312" w:hAnsiTheme="minorEastAsia"/>
          <w:sz w:val="28"/>
          <w:szCs w:val="28"/>
        </w:rPr>
        <w:t>a.供应商执行如下路径操作，登录招标平台&gt;项目管理&gt;我参与的项目&gt;参与项目&gt;再次报价，进入二次报价界面。如下图：</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114300" distR="114300">
            <wp:extent cx="5268595" cy="1998980"/>
            <wp:effectExtent l="0" t="0" r="1905" b="7620"/>
            <wp:docPr id="17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49"/>
                    <pic:cNvPicPr>
                      <a:picLocks noChangeAspect="1"/>
                    </pic:cNvPicPr>
                  </pic:nvPicPr>
                  <pic:blipFill>
                    <a:blip r:embed="rId28" cstate="print"/>
                    <a:stretch>
                      <a:fillRect/>
                    </a:stretch>
                  </pic:blipFill>
                  <pic:spPr>
                    <a:xfrm>
                      <a:off x="0" y="0"/>
                      <a:ext cx="5268595" cy="1998980"/>
                    </a:xfrm>
                    <a:prstGeom prst="rect">
                      <a:avLst/>
                    </a:prstGeom>
                    <a:noFill/>
                    <a:ln>
                      <a:noFill/>
                    </a:ln>
                  </pic:spPr>
                </pic:pic>
              </a:graphicData>
            </a:graphic>
          </wp:inline>
        </w:drawing>
      </w:r>
    </w:p>
    <w:p>
      <w:pPr>
        <w:tabs>
          <w:tab w:val="left" w:pos="0"/>
        </w:tabs>
        <w:spacing w:line="400" w:lineRule="exact"/>
        <w:rPr>
          <w:rFonts w:hint="eastAsia" w:ascii="仿宋_GB2312" w:eastAsia="仿宋_GB2312" w:hAnsiTheme="minorEastAsia"/>
          <w:sz w:val="28"/>
          <w:szCs w:val="28"/>
        </w:rPr>
      </w:pPr>
      <w:r>
        <w:rPr>
          <w:rFonts w:hint="eastAsia" w:ascii="仿宋_GB2312" w:eastAsia="仿宋_GB2312" w:hAnsiTheme="minorEastAsia"/>
          <w:sz w:val="28"/>
          <w:szCs w:val="28"/>
        </w:rPr>
        <w:t>b.点击【谈判报价】，进入二次报价页面，修改报价，上传附件后，提交或放弃完成二次报价（可以选择调价工具，进行批量浮动）。如下图：</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114300" distR="114300">
            <wp:extent cx="5272405" cy="3725545"/>
            <wp:effectExtent l="0" t="0" r="10795" b="8255"/>
            <wp:docPr id="175"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50"/>
                    <pic:cNvPicPr>
                      <a:picLocks noChangeAspect="1"/>
                    </pic:cNvPicPr>
                  </pic:nvPicPr>
                  <pic:blipFill>
                    <a:blip r:embed="rId29" cstate="print"/>
                    <a:stretch>
                      <a:fillRect/>
                    </a:stretch>
                  </pic:blipFill>
                  <pic:spPr>
                    <a:xfrm>
                      <a:off x="0" y="0"/>
                      <a:ext cx="5272405" cy="3725545"/>
                    </a:xfrm>
                    <a:prstGeom prst="rect">
                      <a:avLst/>
                    </a:prstGeom>
                    <a:noFill/>
                    <a:ln>
                      <a:noFill/>
                    </a:ln>
                  </pic:spPr>
                </pic:pic>
              </a:graphicData>
            </a:graphic>
          </wp:inline>
        </w:drawing>
      </w:r>
    </w:p>
    <w:p>
      <w:pPr>
        <w:spacing w:line="360" w:lineRule="auto"/>
        <w:outlineLvl w:val="3"/>
        <w:rPr>
          <w:rFonts w:hint="eastAsia" w:ascii="仿宋_GB2312" w:eastAsia="仿宋_GB2312" w:hAnsiTheme="minorEastAsia"/>
          <w:sz w:val="28"/>
          <w:szCs w:val="28"/>
        </w:rPr>
      </w:pPr>
    </w:p>
    <w:p>
      <w:pPr>
        <w:spacing w:line="400" w:lineRule="exact"/>
        <w:outlineLvl w:val="3"/>
        <w:rPr>
          <w:rFonts w:hint="eastAsia" w:ascii="仿宋_GB2312" w:eastAsia="仿宋_GB2312" w:hAnsiTheme="minorEastAsia"/>
          <w:sz w:val="28"/>
          <w:szCs w:val="28"/>
        </w:rPr>
      </w:pPr>
      <w:r>
        <w:rPr>
          <w:rFonts w:hint="eastAsia" w:ascii="仿宋_GB2312" w:eastAsia="仿宋_GB2312" w:hAnsiTheme="minorEastAsia"/>
          <w:sz w:val="28"/>
          <w:szCs w:val="28"/>
        </w:rPr>
        <w:t>9、中标结果</w:t>
      </w:r>
    </w:p>
    <w:p>
      <w:pPr>
        <w:spacing w:line="400" w:lineRule="exact"/>
        <w:rPr>
          <w:rFonts w:hint="eastAsia" w:ascii="仿宋_GB2312" w:eastAsia="仿宋_GB2312" w:hAnsiTheme="minorEastAsia"/>
          <w:sz w:val="28"/>
          <w:szCs w:val="28"/>
        </w:rPr>
      </w:pPr>
      <w:r>
        <w:rPr>
          <w:rFonts w:hint="eastAsia" w:ascii="仿宋_GB2312" w:eastAsia="仿宋_GB2312" w:hAnsiTheme="minorEastAsia"/>
          <w:sz w:val="28"/>
          <w:szCs w:val="28"/>
        </w:rPr>
        <w:t>经办人发布中标结果后，供应商可登录账号，点击我参与的项目&gt;参与项目&gt;中标结果，查看招投标结果，下载查看通知书/感谢信。</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0" distR="0">
            <wp:extent cx="5274310" cy="145224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cstate="print"/>
                    <a:srcRect/>
                    <a:stretch>
                      <a:fillRect/>
                    </a:stretch>
                  </pic:blipFill>
                  <pic:spPr>
                    <a:xfrm>
                      <a:off x="0" y="0"/>
                      <a:ext cx="5274310" cy="1452398"/>
                    </a:xfrm>
                    <a:prstGeom prst="rect">
                      <a:avLst/>
                    </a:prstGeom>
                    <a:noFill/>
                    <a:ln w="9525">
                      <a:noFill/>
                      <a:miter lim="800000"/>
                      <a:headEnd/>
                      <a:tailEnd/>
                    </a:ln>
                  </pic:spPr>
                </pic:pic>
              </a:graphicData>
            </a:graphic>
          </wp:inline>
        </w:drawing>
      </w:r>
    </w:p>
    <w:p>
      <w:pPr>
        <w:spacing w:line="360" w:lineRule="auto"/>
        <w:rPr>
          <w:rFonts w:asciiTheme="minorEastAsia" w:hAnsiTheme="minorEastAsia" w:eastAsiaTheme="minorEastAsia"/>
          <w:sz w:val="28"/>
          <w:szCs w:val="28"/>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97531"/>
    </w:sdtPr>
    <w:sdtContent>
      <w:p>
        <w:pPr>
          <w:pStyle w:val="1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PowerPlusWaterMarkObject114526" o:spid="_x0000_s2049" o:spt="136" type="#_x0000_t136" style="position:absolute;left:0pt;height:62.3pt;width:524.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path="t" trim="t" xscale="f" string="仅供参考学习，勿作他用"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2119F"/>
    <w:multiLevelType w:val="multilevel"/>
    <w:tmpl w:val="5852119F"/>
    <w:lvl w:ilvl="0" w:tentative="0">
      <w:start w:val="1"/>
      <w:numFmt w:val="lowerLetter"/>
      <w:lvlText w:val="%1."/>
      <w:lvlJc w:val="left"/>
      <w:pPr>
        <w:ind w:left="735" w:hanging="360"/>
      </w:pPr>
      <w:rPr>
        <w:rFonts w:hint="default"/>
      </w:rPr>
    </w:lvl>
    <w:lvl w:ilvl="1" w:tentative="0">
      <w:start w:val="1"/>
      <w:numFmt w:val="lowerLetter"/>
      <w:lvlText w:val="%2)"/>
      <w:lvlJc w:val="left"/>
      <w:pPr>
        <w:ind w:left="1215" w:hanging="420"/>
      </w:pPr>
    </w:lvl>
    <w:lvl w:ilvl="2" w:tentative="0">
      <w:start w:val="1"/>
      <w:numFmt w:val="lowerRoman"/>
      <w:lvlText w:val="%3."/>
      <w:lvlJc w:val="right"/>
      <w:pPr>
        <w:ind w:left="1635" w:hanging="420"/>
      </w:pPr>
    </w:lvl>
    <w:lvl w:ilvl="3" w:tentative="0">
      <w:start w:val="1"/>
      <w:numFmt w:val="decimal"/>
      <w:lvlText w:val="%4."/>
      <w:lvlJc w:val="left"/>
      <w:pPr>
        <w:ind w:left="2055" w:hanging="420"/>
      </w:pPr>
    </w:lvl>
    <w:lvl w:ilvl="4" w:tentative="0">
      <w:start w:val="1"/>
      <w:numFmt w:val="lowerLetter"/>
      <w:lvlText w:val="%5)"/>
      <w:lvlJc w:val="left"/>
      <w:pPr>
        <w:ind w:left="2475" w:hanging="420"/>
      </w:pPr>
    </w:lvl>
    <w:lvl w:ilvl="5" w:tentative="0">
      <w:start w:val="1"/>
      <w:numFmt w:val="lowerRoman"/>
      <w:lvlText w:val="%6."/>
      <w:lvlJc w:val="right"/>
      <w:pPr>
        <w:ind w:left="2895" w:hanging="420"/>
      </w:pPr>
    </w:lvl>
    <w:lvl w:ilvl="6" w:tentative="0">
      <w:start w:val="1"/>
      <w:numFmt w:val="decimal"/>
      <w:lvlText w:val="%7."/>
      <w:lvlJc w:val="left"/>
      <w:pPr>
        <w:ind w:left="3315" w:hanging="420"/>
      </w:pPr>
    </w:lvl>
    <w:lvl w:ilvl="7" w:tentative="0">
      <w:start w:val="1"/>
      <w:numFmt w:val="lowerLetter"/>
      <w:lvlText w:val="%8)"/>
      <w:lvlJc w:val="left"/>
      <w:pPr>
        <w:ind w:left="3735" w:hanging="420"/>
      </w:pPr>
    </w:lvl>
    <w:lvl w:ilvl="8" w:tentative="0">
      <w:start w:val="1"/>
      <w:numFmt w:val="lowerRoman"/>
      <w:lvlText w:val="%9."/>
      <w:lvlJc w:val="right"/>
      <w:pPr>
        <w:ind w:left="4155" w:hanging="420"/>
      </w:pPr>
    </w:lvl>
  </w:abstractNum>
  <w:abstractNum w:abstractNumId="1">
    <w:nsid w:val="6623CFCA"/>
    <w:multiLevelType w:val="singleLevel"/>
    <w:tmpl w:val="6623CFCA"/>
    <w:lvl w:ilvl="0" w:tentative="0">
      <w:start w:val="1"/>
      <w:numFmt w:val="lowerLetter"/>
      <w:lvlText w:val="%1."/>
      <w:lvlJc w:val="left"/>
      <w:pPr>
        <w:tabs>
          <w:tab w:val="left" w:pos="312"/>
        </w:tabs>
        <w:ind w:left="480" w:firstLine="0"/>
      </w:pPr>
    </w:lvl>
  </w:abstractNum>
  <w:abstractNum w:abstractNumId="2">
    <w:nsid w:val="6B0AA74D"/>
    <w:multiLevelType w:val="singleLevel"/>
    <w:tmpl w:val="6B0AA74D"/>
    <w:lvl w:ilvl="0" w:tentative="0">
      <w:start w:val="1"/>
      <w:numFmt w:val="lowerLetter"/>
      <w:lvlText w:val="%1."/>
      <w:lvlJc w:val="left"/>
      <w:pPr>
        <w:tabs>
          <w:tab w:val="left" w:pos="312"/>
        </w:tabs>
        <w:ind w:left="42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35668"/>
    <w:rsid w:val="00012AA5"/>
    <w:rsid w:val="00034184"/>
    <w:rsid w:val="0005223F"/>
    <w:rsid w:val="00067A66"/>
    <w:rsid w:val="00077A93"/>
    <w:rsid w:val="00082259"/>
    <w:rsid w:val="000851B7"/>
    <w:rsid w:val="000A489C"/>
    <w:rsid w:val="000B6968"/>
    <w:rsid w:val="000D008C"/>
    <w:rsid w:val="000F030F"/>
    <w:rsid w:val="000F211A"/>
    <w:rsid w:val="00114A50"/>
    <w:rsid w:val="001263DC"/>
    <w:rsid w:val="00137CD3"/>
    <w:rsid w:val="0014311E"/>
    <w:rsid w:val="00170F58"/>
    <w:rsid w:val="001733FD"/>
    <w:rsid w:val="001839D3"/>
    <w:rsid w:val="00186DB3"/>
    <w:rsid w:val="001A0A23"/>
    <w:rsid w:val="001E23C5"/>
    <w:rsid w:val="001E2C1A"/>
    <w:rsid w:val="001F2DE6"/>
    <w:rsid w:val="001F77B1"/>
    <w:rsid w:val="002126DC"/>
    <w:rsid w:val="002147DE"/>
    <w:rsid w:val="00266821"/>
    <w:rsid w:val="002854B3"/>
    <w:rsid w:val="0028609F"/>
    <w:rsid w:val="00286599"/>
    <w:rsid w:val="0029708F"/>
    <w:rsid w:val="002A7E8D"/>
    <w:rsid w:val="002B553A"/>
    <w:rsid w:val="002C7B6B"/>
    <w:rsid w:val="002F77DF"/>
    <w:rsid w:val="00302BD3"/>
    <w:rsid w:val="003048BC"/>
    <w:rsid w:val="0038133E"/>
    <w:rsid w:val="00387FE2"/>
    <w:rsid w:val="003A20A4"/>
    <w:rsid w:val="003A384B"/>
    <w:rsid w:val="003B594B"/>
    <w:rsid w:val="003C2540"/>
    <w:rsid w:val="003C4F82"/>
    <w:rsid w:val="003D06FC"/>
    <w:rsid w:val="003D2634"/>
    <w:rsid w:val="003F22F1"/>
    <w:rsid w:val="003F33CA"/>
    <w:rsid w:val="003F6F07"/>
    <w:rsid w:val="00407067"/>
    <w:rsid w:val="004272DE"/>
    <w:rsid w:val="0043502A"/>
    <w:rsid w:val="00456EF1"/>
    <w:rsid w:val="00463F8C"/>
    <w:rsid w:val="00464F6A"/>
    <w:rsid w:val="004675C6"/>
    <w:rsid w:val="0049271F"/>
    <w:rsid w:val="004D4BFE"/>
    <w:rsid w:val="004F0014"/>
    <w:rsid w:val="00501EEF"/>
    <w:rsid w:val="00514432"/>
    <w:rsid w:val="00517E1B"/>
    <w:rsid w:val="00533751"/>
    <w:rsid w:val="0054514D"/>
    <w:rsid w:val="00560928"/>
    <w:rsid w:val="00585EC1"/>
    <w:rsid w:val="005B0001"/>
    <w:rsid w:val="005B5843"/>
    <w:rsid w:val="005C3FB8"/>
    <w:rsid w:val="005C63F6"/>
    <w:rsid w:val="00621C4E"/>
    <w:rsid w:val="006225EE"/>
    <w:rsid w:val="00627CC5"/>
    <w:rsid w:val="00644350"/>
    <w:rsid w:val="00652E59"/>
    <w:rsid w:val="0065444B"/>
    <w:rsid w:val="0066035B"/>
    <w:rsid w:val="00670C00"/>
    <w:rsid w:val="00672FA8"/>
    <w:rsid w:val="00674695"/>
    <w:rsid w:val="00687DF6"/>
    <w:rsid w:val="006A1951"/>
    <w:rsid w:val="006A2F95"/>
    <w:rsid w:val="006A7985"/>
    <w:rsid w:val="006B4EAD"/>
    <w:rsid w:val="006E07F5"/>
    <w:rsid w:val="0072236F"/>
    <w:rsid w:val="0072535B"/>
    <w:rsid w:val="00731F35"/>
    <w:rsid w:val="00732B68"/>
    <w:rsid w:val="00752D90"/>
    <w:rsid w:val="00766609"/>
    <w:rsid w:val="00770C99"/>
    <w:rsid w:val="00771210"/>
    <w:rsid w:val="007730C5"/>
    <w:rsid w:val="00781931"/>
    <w:rsid w:val="007A07DB"/>
    <w:rsid w:val="007A1CF5"/>
    <w:rsid w:val="007A6732"/>
    <w:rsid w:val="007B0EF3"/>
    <w:rsid w:val="007B5D21"/>
    <w:rsid w:val="007D09BA"/>
    <w:rsid w:val="007F513F"/>
    <w:rsid w:val="00810934"/>
    <w:rsid w:val="00836D8D"/>
    <w:rsid w:val="008371DF"/>
    <w:rsid w:val="00840354"/>
    <w:rsid w:val="008556A4"/>
    <w:rsid w:val="00874AFF"/>
    <w:rsid w:val="00887B64"/>
    <w:rsid w:val="008918C8"/>
    <w:rsid w:val="008C133F"/>
    <w:rsid w:val="008C3512"/>
    <w:rsid w:val="008D3B09"/>
    <w:rsid w:val="008E1228"/>
    <w:rsid w:val="00902E07"/>
    <w:rsid w:val="00907049"/>
    <w:rsid w:val="00907975"/>
    <w:rsid w:val="0091028E"/>
    <w:rsid w:val="0091788D"/>
    <w:rsid w:val="009236DE"/>
    <w:rsid w:val="0093460E"/>
    <w:rsid w:val="00935423"/>
    <w:rsid w:val="00944202"/>
    <w:rsid w:val="00955B72"/>
    <w:rsid w:val="00964633"/>
    <w:rsid w:val="00965295"/>
    <w:rsid w:val="009726FB"/>
    <w:rsid w:val="00981E6B"/>
    <w:rsid w:val="0098402B"/>
    <w:rsid w:val="00985700"/>
    <w:rsid w:val="00993649"/>
    <w:rsid w:val="009A1E6B"/>
    <w:rsid w:val="009A301D"/>
    <w:rsid w:val="009B32EA"/>
    <w:rsid w:val="009B3314"/>
    <w:rsid w:val="009C152E"/>
    <w:rsid w:val="009D43E2"/>
    <w:rsid w:val="00A15864"/>
    <w:rsid w:val="00A25069"/>
    <w:rsid w:val="00A30169"/>
    <w:rsid w:val="00A32D11"/>
    <w:rsid w:val="00A46BEA"/>
    <w:rsid w:val="00A47633"/>
    <w:rsid w:val="00A62A81"/>
    <w:rsid w:val="00A64FF1"/>
    <w:rsid w:val="00A73FE9"/>
    <w:rsid w:val="00A75086"/>
    <w:rsid w:val="00A905B0"/>
    <w:rsid w:val="00A9667A"/>
    <w:rsid w:val="00AA4C0F"/>
    <w:rsid w:val="00AA7311"/>
    <w:rsid w:val="00AC15BE"/>
    <w:rsid w:val="00AD264D"/>
    <w:rsid w:val="00AD6194"/>
    <w:rsid w:val="00AD6BF6"/>
    <w:rsid w:val="00AF423B"/>
    <w:rsid w:val="00AF748C"/>
    <w:rsid w:val="00B34D05"/>
    <w:rsid w:val="00B61A78"/>
    <w:rsid w:val="00B62FE5"/>
    <w:rsid w:val="00B91481"/>
    <w:rsid w:val="00B9254D"/>
    <w:rsid w:val="00B965E5"/>
    <w:rsid w:val="00BA6330"/>
    <w:rsid w:val="00BC35E2"/>
    <w:rsid w:val="00BE69DE"/>
    <w:rsid w:val="00C12230"/>
    <w:rsid w:val="00C14116"/>
    <w:rsid w:val="00C1427E"/>
    <w:rsid w:val="00C327DB"/>
    <w:rsid w:val="00C34760"/>
    <w:rsid w:val="00C35668"/>
    <w:rsid w:val="00C71312"/>
    <w:rsid w:val="00C71F98"/>
    <w:rsid w:val="00C9467F"/>
    <w:rsid w:val="00C94C23"/>
    <w:rsid w:val="00CA6187"/>
    <w:rsid w:val="00CB15DE"/>
    <w:rsid w:val="00CB2EA0"/>
    <w:rsid w:val="00CC0E3D"/>
    <w:rsid w:val="00CE493E"/>
    <w:rsid w:val="00D030F9"/>
    <w:rsid w:val="00D03683"/>
    <w:rsid w:val="00D05B5E"/>
    <w:rsid w:val="00D116F1"/>
    <w:rsid w:val="00D2729E"/>
    <w:rsid w:val="00D6488D"/>
    <w:rsid w:val="00D739E2"/>
    <w:rsid w:val="00D83E7E"/>
    <w:rsid w:val="00D87DA0"/>
    <w:rsid w:val="00D90660"/>
    <w:rsid w:val="00DC1B75"/>
    <w:rsid w:val="00DC41DF"/>
    <w:rsid w:val="00DD28F7"/>
    <w:rsid w:val="00DD29A0"/>
    <w:rsid w:val="00DF14BF"/>
    <w:rsid w:val="00DF15E9"/>
    <w:rsid w:val="00DF52F8"/>
    <w:rsid w:val="00E14BAD"/>
    <w:rsid w:val="00E26282"/>
    <w:rsid w:val="00E357A5"/>
    <w:rsid w:val="00E7279B"/>
    <w:rsid w:val="00E77BE2"/>
    <w:rsid w:val="00E77F69"/>
    <w:rsid w:val="00E80762"/>
    <w:rsid w:val="00E832AD"/>
    <w:rsid w:val="00E9566D"/>
    <w:rsid w:val="00EB4CEF"/>
    <w:rsid w:val="00ED323F"/>
    <w:rsid w:val="00EF2C27"/>
    <w:rsid w:val="00F03F4B"/>
    <w:rsid w:val="00F0412A"/>
    <w:rsid w:val="00F14789"/>
    <w:rsid w:val="00F14BB6"/>
    <w:rsid w:val="00F300D5"/>
    <w:rsid w:val="00F50AFD"/>
    <w:rsid w:val="00F71251"/>
    <w:rsid w:val="00F8015F"/>
    <w:rsid w:val="00F821E6"/>
    <w:rsid w:val="00F97F97"/>
    <w:rsid w:val="00FB17C3"/>
    <w:rsid w:val="00FB1F94"/>
    <w:rsid w:val="00FB6820"/>
    <w:rsid w:val="00FC26A3"/>
    <w:rsid w:val="00FD60FB"/>
    <w:rsid w:val="00FE3963"/>
    <w:rsid w:val="00FE55FC"/>
    <w:rsid w:val="00FF2398"/>
    <w:rsid w:val="013C15E0"/>
    <w:rsid w:val="018B2F0F"/>
    <w:rsid w:val="019918C4"/>
    <w:rsid w:val="01C113DD"/>
    <w:rsid w:val="02C8656C"/>
    <w:rsid w:val="03326E66"/>
    <w:rsid w:val="036D2CCB"/>
    <w:rsid w:val="03A32EB5"/>
    <w:rsid w:val="03C61A5B"/>
    <w:rsid w:val="04706118"/>
    <w:rsid w:val="047B4068"/>
    <w:rsid w:val="04A83AAD"/>
    <w:rsid w:val="04CB2BDA"/>
    <w:rsid w:val="06A06C57"/>
    <w:rsid w:val="06B50701"/>
    <w:rsid w:val="06C31610"/>
    <w:rsid w:val="06DD7B3E"/>
    <w:rsid w:val="071D2C61"/>
    <w:rsid w:val="073B3ABF"/>
    <w:rsid w:val="07D83D4C"/>
    <w:rsid w:val="08832A04"/>
    <w:rsid w:val="088644B0"/>
    <w:rsid w:val="08955177"/>
    <w:rsid w:val="09202D2F"/>
    <w:rsid w:val="092E6C54"/>
    <w:rsid w:val="09461D5C"/>
    <w:rsid w:val="099966D7"/>
    <w:rsid w:val="0A094A96"/>
    <w:rsid w:val="0A542A7E"/>
    <w:rsid w:val="0A6C0FCC"/>
    <w:rsid w:val="0A8B5135"/>
    <w:rsid w:val="0AFE294B"/>
    <w:rsid w:val="0BC33269"/>
    <w:rsid w:val="0D383B29"/>
    <w:rsid w:val="0D3B722D"/>
    <w:rsid w:val="0D8310E2"/>
    <w:rsid w:val="0E55143B"/>
    <w:rsid w:val="0E970553"/>
    <w:rsid w:val="0EB97F89"/>
    <w:rsid w:val="0EF43B67"/>
    <w:rsid w:val="106D58FF"/>
    <w:rsid w:val="10C02B1D"/>
    <w:rsid w:val="10F24D06"/>
    <w:rsid w:val="114A6FBD"/>
    <w:rsid w:val="127946AC"/>
    <w:rsid w:val="12BE08DF"/>
    <w:rsid w:val="12F6743F"/>
    <w:rsid w:val="13043009"/>
    <w:rsid w:val="13425CE6"/>
    <w:rsid w:val="13BC4355"/>
    <w:rsid w:val="13F94498"/>
    <w:rsid w:val="14084A99"/>
    <w:rsid w:val="14236AC5"/>
    <w:rsid w:val="143A1F63"/>
    <w:rsid w:val="143D3F67"/>
    <w:rsid w:val="14671276"/>
    <w:rsid w:val="14D10522"/>
    <w:rsid w:val="15683E4C"/>
    <w:rsid w:val="16054405"/>
    <w:rsid w:val="16440813"/>
    <w:rsid w:val="177B1D93"/>
    <w:rsid w:val="17BF2F61"/>
    <w:rsid w:val="18061FC9"/>
    <w:rsid w:val="189F2E76"/>
    <w:rsid w:val="18B10F69"/>
    <w:rsid w:val="18B15B43"/>
    <w:rsid w:val="197E44B0"/>
    <w:rsid w:val="19F478F8"/>
    <w:rsid w:val="1C3337B7"/>
    <w:rsid w:val="1C77174E"/>
    <w:rsid w:val="1D6E7B67"/>
    <w:rsid w:val="1D736446"/>
    <w:rsid w:val="1DB91DEE"/>
    <w:rsid w:val="1E283AD1"/>
    <w:rsid w:val="1E9E7F58"/>
    <w:rsid w:val="1EE94A6B"/>
    <w:rsid w:val="1F573A4E"/>
    <w:rsid w:val="1F7B1A14"/>
    <w:rsid w:val="1FB966B7"/>
    <w:rsid w:val="20983257"/>
    <w:rsid w:val="215A60B1"/>
    <w:rsid w:val="216D3F55"/>
    <w:rsid w:val="21D02BBE"/>
    <w:rsid w:val="21DA38D7"/>
    <w:rsid w:val="22131376"/>
    <w:rsid w:val="22897F7B"/>
    <w:rsid w:val="228E6959"/>
    <w:rsid w:val="22AA3F39"/>
    <w:rsid w:val="23160200"/>
    <w:rsid w:val="232E06B6"/>
    <w:rsid w:val="235D1B72"/>
    <w:rsid w:val="23752B04"/>
    <w:rsid w:val="23907DC3"/>
    <w:rsid w:val="239F0F6A"/>
    <w:rsid w:val="23D505C2"/>
    <w:rsid w:val="24132765"/>
    <w:rsid w:val="244872D2"/>
    <w:rsid w:val="244B5547"/>
    <w:rsid w:val="245133A2"/>
    <w:rsid w:val="246A3FDE"/>
    <w:rsid w:val="24FA0801"/>
    <w:rsid w:val="25271C96"/>
    <w:rsid w:val="25325390"/>
    <w:rsid w:val="253C24AD"/>
    <w:rsid w:val="25635474"/>
    <w:rsid w:val="26756608"/>
    <w:rsid w:val="26852861"/>
    <w:rsid w:val="269F1EF7"/>
    <w:rsid w:val="26DA4BDA"/>
    <w:rsid w:val="27EC74E8"/>
    <w:rsid w:val="281E5098"/>
    <w:rsid w:val="28572C25"/>
    <w:rsid w:val="2A4227D3"/>
    <w:rsid w:val="2A793A50"/>
    <w:rsid w:val="2AB068C1"/>
    <w:rsid w:val="2AC35C86"/>
    <w:rsid w:val="2BED5513"/>
    <w:rsid w:val="2C4A6C22"/>
    <w:rsid w:val="2C6622A4"/>
    <w:rsid w:val="2C9451C6"/>
    <w:rsid w:val="2D2B0C1E"/>
    <w:rsid w:val="2D4F1EDA"/>
    <w:rsid w:val="2DEF1556"/>
    <w:rsid w:val="2E021D05"/>
    <w:rsid w:val="2E7420D4"/>
    <w:rsid w:val="2E94438A"/>
    <w:rsid w:val="3046117A"/>
    <w:rsid w:val="30E07407"/>
    <w:rsid w:val="30EF0E57"/>
    <w:rsid w:val="30FD6F20"/>
    <w:rsid w:val="316143A7"/>
    <w:rsid w:val="31AD28F0"/>
    <w:rsid w:val="32174BD7"/>
    <w:rsid w:val="335674ED"/>
    <w:rsid w:val="33752095"/>
    <w:rsid w:val="33B10F27"/>
    <w:rsid w:val="33C61D2C"/>
    <w:rsid w:val="342F1E0A"/>
    <w:rsid w:val="349B0213"/>
    <w:rsid w:val="34E568CB"/>
    <w:rsid w:val="363D5B56"/>
    <w:rsid w:val="37437DC8"/>
    <w:rsid w:val="37620A73"/>
    <w:rsid w:val="3776149F"/>
    <w:rsid w:val="37EA5DB1"/>
    <w:rsid w:val="38B6034A"/>
    <w:rsid w:val="390E6DDC"/>
    <w:rsid w:val="39682941"/>
    <w:rsid w:val="3A592A77"/>
    <w:rsid w:val="3B4C33C3"/>
    <w:rsid w:val="3BA665D4"/>
    <w:rsid w:val="3BD05035"/>
    <w:rsid w:val="3D3C3969"/>
    <w:rsid w:val="3D46710C"/>
    <w:rsid w:val="3D55024A"/>
    <w:rsid w:val="3D8B15FE"/>
    <w:rsid w:val="3DF41657"/>
    <w:rsid w:val="3EB23763"/>
    <w:rsid w:val="3F2B27D6"/>
    <w:rsid w:val="3FD0648C"/>
    <w:rsid w:val="40564B2C"/>
    <w:rsid w:val="40DB121A"/>
    <w:rsid w:val="41BB7CE1"/>
    <w:rsid w:val="41D6429F"/>
    <w:rsid w:val="41DE70E2"/>
    <w:rsid w:val="4303027F"/>
    <w:rsid w:val="434C0A12"/>
    <w:rsid w:val="435E70F2"/>
    <w:rsid w:val="43F077A6"/>
    <w:rsid w:val="4409531A"/>
    <w:rsid w:val="443475F5"/>
    <w:rsid w:val="4480111C"/>
    <w:rsid w:val="44B66634"/>
    <w:rsid w:val="45CB7E62"/>
    <w:rsid w:val="45EA2A45"/>
    <w:rsid w:val="464A6A93"/>
    <w:rsid w:val="468341A8"/>
    <w:rsid w:val="46FF51D5"/>
    <w:rsid w:val="4729488E"/>
    <w:rsid w:val="47DA3E2A"/>
    <w:rsid w:val="48445512"/>
    <w:rsid w:val="48561AC7"/>
    <w:rsid w:val="49052D91"/>
    <w:rsid w:val="49B77503"/>
    <w:rsid w:val="4B100219"/>
    <w:rsid w:val="4B4E1918"/>
    <w:rsid w:val="4BA96267"/>
    <w:rsid w:val="4BBF119B"/>
    <w:rsid w:val="4BD77BCE"/>
    <w:rsid w:val="4C231208"/>
    <w:rsid w:val="4C3F115C"/>
    <w:rsid w:val="4DB40008"/>
    <w:rsid w:val="4DCE5391"/>
    <w:rsid w:val="4DE83850"/>
    <w:rsid w:val="4E066723"/>
    <w:rsid w:val="4E3D00BE"/>
    <w:rsid w:val="4E6C6724"/>
    <w:rsid w:val="4E9E3764"/>
    <w:rsid w:val="4EB3391E"/>
    <w:rsid w:val="4F3B1098"/>
    <w:rsid w:val="4F820A03"/>
    <w:rsid w:val="4FAB00AF"/>
    <w:rsid w:val="502A7AB2"/>
    <w:rsid w:val="505C41DA"/>
    <w:rsid w:val="50AA5523"/>
    <w:rsid w:val="50B255CB"/>
    <w:rsid w:val="50DC1864"/>
    <w:rsid w:val="511E5C7D"/>
    <w:rsid w:val="513F3047"/>
    <w:rsid w:val="51774341"/>
    <w:rsid w:val="51C3487B"/>
    <w:rsid w:val="5200175C"/>
    <w:rsid w:val="52043D9C"/>
    <w:rsid w:val="52921C0B"/>
    <w:rsid w:val="52C240C4"/>
    <w:rsid w:val="5313756B"/>
    <w:rsid w:val="53492FC6"/>
    <w:rsid w:val="534C765E"/>
    <w:rsid w:val="5377095F"/>
    <w:rsid w:val="54076195"/>
    <w:rsid w:val="542325A0"/>
    <w:rsid w:val="54B41DFB"/>
    <w:rsid w:val="54E146C7"/>
    <w:rsid w:val="54F025F6"/>
    <w:rsid w:val="55101246"/>
    <w:rsid w:val="559C7BDB"/>
    <w:rsid w:val="563248AA"/>
    <w:rsid w:val="56670B62"/>
    <w:rsid w:val="566E2B2A"/>
    <w:rsid w:val="56B92AC7"/>
    <w:rsid w:val="56CD75EC"/>
    <w:rsid w:val="571A0680"/>
    <w:rsid w:val="577312AF"/>
    <w:rsid w:val="57877265"/>
    <w:rsid w:val="59636050"/>
    <w:rsid w:val="59880F51"/>
    <w:rsid w:val="5A2059EA"/>
    <w:rsid w:val="5AA423B8"/>
    <w:rsid w:val="5BAA2CCD"/>
    <w:rsid w:val="5D0474C9"/>
    <w:rsid w:val="5D1256CA"/>
    <w:rsid w:val="5D4C48EE"/>
    <w:rsid w:val="5D7F49B2"/>
    <w:rsid w:val="5E9A401E"/>
    <w:rsid w:val="5ED54A91"/>
    <w:rsid w:val="5EF30A24"/>
    <w:rsid w:val="5FF173B5"/>
    <w:rsid w:val="605C7240"/>
    <w:rsid w:val="609E2FCB"/>
    <w:rsid w:val="60FC7524"/>
    <w:rsid w:val="61047BBE"/>
    <w:rsid w:val="61310859"/>
    <w:rsid w:val="613952EF"/>
    <w:rsid w:val="61666F17"/>
    <w:rsid w:val="61824D98"/>
    <w:rsid w:val="62211CF3"/>
    <w:rsid w:val="62D20BB9"/>
    <w:rsid w:val="62E9623C"/>
    <w:rsid w:val="6316077A"/>
    <w:rsid w:val="634D67AE"/>
    <w:rsid w:val="63D70FF8"/>
    <w:rsid w:val="64593721"/>
    <w:rsid w:val="64815E75"/>
    <w:rsid w:val="65505AE2"/>
    <w:rsid w:val="65855F9B"/>
    <w:rsid w:val="658873BF"/>
    <w:rsid w:val="659A401C"/>
    <w:rsid w:val="663521BE"/>
    <w:rsid w:val="664D7A94"/>
    <w:rsid w:val="66850CC2"/>
    <w:rsid w:val="66B83B47"/>
    <w:rsid w:val="6729081B"/>
    <w:rsid w:val="6753440C"/>
    <w:rsid w:val="6794311C"/>
    <w:rsid w:val="67B05E3B"/>
    <w:rsid w:val="67E75998"/>
    <w:rsid w:val="681E272D"/>
    <w:rsid w:val="68252AEE"/>
    <w:rsid w:val="692135A9"/>
    <w:rsid w:val="69F97F61"/>
    <w:rsid w:val="6AC8104D"/>
    <w:rsid w:val="6ADA04C9"/>
    <w:rsid w:val="6AEC5E01"/>
    <w:rsid w:val="6B2E3287"/>
    <w:rsid w:val="6B633D93"/>
    <w:rsid w:val="6D875238"/>
    <w:rsid w:val="6EA2203A"/>
    <w:rsid w:val="6EF5788C"/>
    <w:rsid w:val="6F1F127D"/>
    <w:rsid w:val="6F9730AD"/>
    <w:rsid w:val="706D5A98"/>
    <w:rsid w:val="707D208C"/>
    <w:rsid w:val="71AA36EA"/>
    <w:rsid w:val="71CB55E7"/>
    <w:rsid w:val="72405F9E"/>
    <w:rsid w:val="72456563"/>
    <w:rsid w:val="72C214B6"/>
    <w:rsid w:val="72CE0927"/>
    <w:rsid w:val="73326DEB"/>
    <w:rsid w:val="73355833"/>
    <w:rsid w:val="7340221F"/>
    <w:rsid w:val="7394149E"/>
    <w:rsid w:val="74017C90"/>
    <w:rsid w:val="74577F6B"/>
    <w:rsid w:val="752C3786"/>
    <w:rsid w:val="75486554"/>
    <w:rsid w:val="758E32A3"/>
    <w:rsid w:val="75AB0C40"/>
    <w:rsid w:val="75B92D86"/>
    <w:rsid w:val="75C31432"/>
    <w:rsid w:val="75C44EDF"/>
    <w:rsid w:val="760A3016"/>
    <w:rsid w:val="76227270"/>
    <w:rsid w:val="77A831F2"/>
    <w:rsid w:val="782F6CDF"/>
    <w:rsid w:val="784D4304"/>
    <w:rsid w:val="78B21BF5"/>
    <w:rsid w:val="78E660C3"/>
    <w:rsid w:val="78FD3330"/>
    <w:rsid w:val="79240511"/>
    <w:rsid w:val="79720D04"/>
    <w:rsid w:val="7A135CCE"/>
    <w:rsid w:val="7A62623B"/>
    <w:rsid w:val="7A6819CA"/>
    <w:rsid w:val="7B3E6C49"/>
    <w:rsid w:val="7B641CF6"/>
    <w:rsid w:val="7C020787"/>
    <w:rsid w:val="7C5E0323"/>
    <w:rsid w:val="7D7F44D8"/>
    <w:rsid w:val="7F130A51"/>
    <w:rsid w:val="7F3300B2"/>
    <w:rsid w:val="7F784329"/>
    <w:rsid w:val="7F7B532B"/>
    <w:rsid w:val="7F855633"/>
    <w:rsid w:val="7FF337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6" w:lineRule="auto"/>
      <w:ind w:left="4107" w:hanging="420"/>
      <w:outlineLvl w:val="0"/>
    </w:pPr>
    <w:rPr>
      <w:b/>
      <w:bCs/>
      <w:kern w:val="44"/>
      <w:sz w:val="44"/>
      <w:szCs w:val="44"/>
    </w:rPr>
  </w:style>
  <w:style w:type="paragraph" w:styleId="3">
    <w:name w:val="heading 2"/>
    <w:basedOn w:val="1"/>
    <w:next w:val="1"/>
    <w:link w:val="34"/>
    <w:qFormat/>
    <w:uiPriority w:val="9"/>
    <w:pPr>
      <w:keepNext/>
      <w:keepLines/>
      <w:spacing w:before="260" w:after="260" w:line="413" w:lineRule="auto"/>
      <w:ind w:left="576" w:hanging="576"/>
      <w:outlineLvl w:val="1"/>
    </w:pPr>
    <w:rPr>
      <w:rFonts w:ascii="Arial" w:hAnsi="Arial" w:eastAsia="黑体"/>
      <w:b/>
      <w:bCs/>
      <w:sz w:val="32"/>
      <w:szCs w:val="32"/>
    </w:rPr>
  </w:style>
  <w:style w:type="paragraph" w:styleId="4">
    <w:name w:val="heading 3"/>
    <w:basedOn w:val="1"/>
    <w:next w:val="1"/>
    <w:link w:val="29"/>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4"/>
    <w:basedOn w:val="1"/>
    <w:next w:val="1"/>
    <w:link w:val="35"/>
    <w:qFormat/>
    <w:uiPriority w:val="9"/>
    <w:pPr>
      <w:keepNext/>
      <w:keepLines/>
      <w:spacing w:before="280" w:after="290" w:line="372" w:lineRule="auto"/>
      <w:ind w:left="864" w:hanging="864"/>
      <w:outlineLvl w:val="3"/>
    </w:pPr>
    <w:rPr>
      <w:rFonts w:ascii="Arial" w:hAnsi="Arial" w:eastAsiaTheme="majorEastAsia"/>
      <w:bCs/>
      <w:sz w:val="24"/>
      <w:szCs w:val="28"/>
    </w:rPr>
  </w:style>
  <w:style w:type="paragraph" w:styleId="6">
    <w:name w:val="heading 5"/>
    <w:basedOn w:val="1"/>
    <w:next w:val="1"/>
    <w:link w:val="36"/>
    <w:qFormat/>
    <w:uiPriority w:val="0"/>
    <w:pPr>
      <w:keepNext/>
      <w:keepLines/>
      <w:spacing w:before="280" w:after="290" w:line="372" w:lineRule="auto"/>
      <w:ind w:left="1150" w:hanging="1008"/>
      <w:outlineLvl w:val="4"/>
    </w:pPr>
    <w:rPr>
      <w:b/>
      <w:bCs/>
      <w:sz w:val="28"/>
      <w:szCs w:val="28"/>
    </w:rPr>
  </w:style>
  <w:style w:type="paragraph" w:styleId="7">
    <w:name w:val="heading 6"/>
    <w:basedOn w:val="1"/>
    <w:next w:val="1"/>
    <w:link w:val="37"/>
    <w:qFormat/>
    <w:uiPriority w:val="0"/>
    <w:pPr>
      <w:keepNext/>
      <w:keepLines/>
      <w:tabs>
        <w:tab w:val="left" w:pos="1152"/>
      </w:tabs>
      <w:spacing w:before="240" w:after="64" w:line="317" w:lineRule="auto"/>
      <w:ind w:left="1152" w:hanging="1152"/>
      <w:outlineLvl w:val="5"/>
    </w:pPr>
    <w:rPr>
      <w:rFonts w:ascii="Arial" w:hAnsi="Arial" w:eastAsia="黑体"/>
      <w:b/>
      <w:bCs/>
      <w:sz w:val="24"/>
    </w:rPr>
  </w:style>
  <w:style w:type="paragraph" w:styleId="8">
    <w:name w:val="heading 7"/>
    <w:basedOn w:val="1"/>
    <w:next w:val="1"/>
    <w:link w:val="38"/>
    <w:qFormat/>
    <w:uiPriority w:val="0"/>
    <w:pPr>
      <w:keepNext/>
      <w:keepLines/>
      <w:tabs>
        <w:tab w:val="left" w:pos="1296"/>
      </w:tabs>
      <w:spacing w:before="240" w:after="64" w:line="317" w:lineRule="auto"/>
      <w:ind w:left="1296" w:hanging="1296"/>
      <w:outlineLvl w:val="6"/>
    </w:pPr>
    <w:rPr>
      <w:b/>
      <w:bCs/>
      <w:sz w:val="24"/>
    </w:rPr>
  </w:style>
  <w:style w:type="paragraph" w:styleId="9">
    <w:name w:val="heading 8"/>
    <w:basedOn w:val="1"/>
    <w:next w:val="1"/>
    <w:link w:val="39"/>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0">
    <w:name w:val="heading 9"/>
    <w:basedOn w:val="1"/>
    <w:next w:val="1"/>
    <w:link w:val="40"/>
    <w:qFormat/>
    <w:uiPriority w:val="0"/>
    <w:pPr>
      <w:keepNext/>
      <w:keepLines/>
      <w:tabs>
        <w:tab w:val="left" w:pos="1584"/>
      </w:tabs>
      <w:spacing w:before="240" w:after="64" w:line="317" w:lineRule="auto"/>
      <w:ind w:left="1584" w:hanging="1584"/>
      <w:outlineLvl w:val="8"/>
    </w:pPr>
    <w:rPr>
      <w:rFonts w:ascii="Arial" w:hAnsi="Arial" w:eastAsia="黑体"/>
      <w:szCs w:val="21"/>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30"/>
    <w:semiHidden/>
    <w:unhideWhenUsed/>
    <w:qFormat/>
    <w:uiPriority w:val="99"/>
    <w:rPr>
      <w:rFonts w:ascii="宋体"/>
      <w:sz w:val="18"/>
      <w:szCs w:val="18"/>
    </w:rPr>
  </w:style>
  <w:style w:type="paragraph" w:styleId="12">
    <w:name w:val="annotation text"/>
    <w:basedOn w:val="1"/>
    <w:link w:val="47"/>
    <w:semiHidden/>
    <w:unhideWhenUsed/>
    <w:qFormat/>
    <w:uiPriority w:val="99"/>
    <w:pPr>
      <w:jc w:val="left"/>
    </w:pPr>
  </w:style>
  <w:style w:type="paragraph" w:styleId="13">
    <w:name w:val="toc 3"/>
    <w:basedOn w:val="14"/>
    <w:next w:val="1"/>
    <w:qFormat/>
    <w:uiPriority w:val="39"/>
  </w:style>
  <w:style w:type="paragraph" w:styleId="14">
    <w:name w:val="toc 2"/>
    <w:basedOn w:val="15"/>
    <w:next w:val="1"/>
    <w:qFormat/>
    <w:uiPriority w:val="39"/>
  </w:style>
  <w:style w:type="paragraph" w:styleId="15">
    <w:name w:val="toc 1"/>
    <w:next w:val="1"/>
    <w:qFormat/>
    <w:uiPriority w:val="39"/>
    <w:pPr>
      <w:jc w:val="both"/>
    </w:pPr>
    <w:rPr>
      <w:rFonts w:ascii="宋体" w:hAnsi="Times New Roman" w:eastAsia="宋体" w:cs="Times New Roman"/>
      <w:sz w:val="21"/>
      <w:lang w:val="en-US" w:eastAsia="zh-CN" w:bidi="ar-SA"/>
    </w:rPr>
  </w:style>
  <w:style w:type="paragraph" w:styleId="16">
    <w:name w:val="Balloon Text"/>
    <w:basedOn w:val="1"/>
    <w:link w:val="49"/>
    <w:semiHidden/>
    <w:unhideWhenUsed/>
    <w:qFormat/>
    <w:uiPriority w:val="99"/>
    <w:rPr>
      <w:sz w:val="18"/>
      <w:szCs w:val="18"/>
    </w:rPr>
  </w:style>
  <w:style w:type="paragraph" w:styleId="17">
    <w:name w:val="footer"/>
    <w:basedOn w:val="1"/>
    <w:link w:val="28"/>
    <w:unhideWhenUsed/>
    <w:qFormat/>
    <w:uiPriority w:val="99"/>
    <w:pPr>
      <w:tabs>
        <w:tab w:val="center" w:pos="4153"/>
        <w:tab w:val="right" w:pos="8306"/>
      </w:tabs>
      <w:snapToGrid w:val="0"/>
      <w:jc w:val="left"/>
    </w:pPr>
    <w:rPr>
      <w:sz w:val="18"/>
      <w:szCs w:val="18"/>
    </w:rPr>
  </w:style>
  <w:style w:type="paragraph" w:styleId="18">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20">
    <w:name w:val="annotation subject"/>
    <w:basedOn w:val="12"/>
    <w:next w:val="12"/>
    <w:link w:val="48"/>
    <w:semiHidden/>
    <w:unhideWhenUsed/>
    <w:qFormat/>
    <w:uiPriority w:val="99"/>
    <w:rPr>
      <w:b/>
      <w:bCs/>
    </w:rPr>
  </w:style>
  <w:style w:type="table" w:styleId="22">
    <w:name w:val="Table Grid"/>
    <w:basedOn w:val="2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Hyperlink"/>
    <w:basedOn w:val="23"/>
    <w:unhideWhenUsed/>
    <w:qFormat/>
    <w:uiPriority w:val="99"/>
    <w:rPr>
      <w:color w:val="394769"/>
      <w:u w:val="none"/>
    </w:rPr>
  </w:style>
  <w:style w:type="character" w:styleId="26">
    <w:name w:val="annotation reference"/>
    <w:basedOn w:val="23"/>
    <w:semiHidden/>
    <w:unhideWhenUsed/>
    <w:qFormat/>
    <w:uiPriority w:val="99"/>
    <w:rPr>
      <w:sz w:val="21"/>
      <w:szCs w:val="21"/>
    </w:rPr>
  </w:style>
  <w:style w:type="character" w:customStyle="1" w:styleId="27">
    <w:name w:val="页眉 Char"/>
    <w:basedOn w:val="23"/>
    <w:link w:val="18"/>
    <w:qFormat/>
    <w:uiPriority w:val="99"/>
    <w:rPr>
      <w:rFonts w:ascii="Times New Roman" w:hAnsi="Times New Roman" w:eastAsia="宋体" w:cs="Times New Roman"/>
      <w:sz w:val="18"/>
      <w:szCs w:val="18"/>
    </w:rPr>
  </w:style>
  <w:style w:type="character" w:customStyle="1" w:styleId="28">
    <w:name w:val="页脚 Char"/>
    <w:basedOn w:val="23"/>
    <w:link w:val="17"/>
    <w:qFormat/>
    <w:uiPriority w:val="99"/>
    <w:rPr>
      <w:rFonts w:ascii="Times New Roman" w:hAnsi="Times New Roman" w:eastAsia="宋体" w:cs="Times New Roman"/>
      <w:sz w:val="18"/>
      <w:szCs w:val="18"/>
    </w:rPr>
  </w:style>
  <w:style w:type="character" w:customStyle="1" w:styleId="29">
    <w:name w:val="标题 3 Char"/>
    <w:basedOn w:val="23"/>
    <w:link w:val="4"/>
    <w:qFormat/>
    <w:uiPriority w:val="9"/>
    <w:rPr>
      <w:rFonts w:ascii="宋体" w:hAnsi="宋体" w:eastAsia="宋体" w:cs="宋体"/>
      <w:b/>
      <w:bCs/>
      <w:kern w:val="0"/>
      <w:sz w:val="27"/>
      <w:szCs w:val="27"/>
    </w:rPr>
  </w:style>
  <w:style w:type="character" w:customStyle="1" w:styleId="30">
    <w:name w:val="文档结构图 Char"/>
    <w:basedOn w:val="23"/>
    <w:link w:val="11"/>
    <w:semiHidden/>
    <w:qFormat/>
    <w:uiPriority w:val="99"/>
    <w:rPr>
      <w:rFonts w:ascii="宋体" w:hAnsi="Times New Roman" w:eastAsia="宋体" w:cs="Times New Roman"/>
      <w:sz w:val="18"/>
      <w:szCs w:val="18"/>
    </w:rPr>
  </w:style>
  <w:style w:type="paragraph" w:styleId="31">
    <w:name w:val="List Paragraph"/>
    <w:basedOn w:val="1"/>
    <w:qFormat/>
    <w:uiPriority w:val="34"/>
    <w:pPr>
      <w:ind w:firstLine="420" w:firstLineChars="200"/>
    </w:pPr>
  </w:style>
  <w:style w:type="paragraph" w:customStyle="1" w:styleId="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3">
    <w:name w:val="标题 1 Char"/>
    <w:basedOn w:val="23"/>
    <w:link w:val="2"/>
    <w:qFormat/>
    <w:uiPriority w:val="9"/>
    <w:rPr>
      <w:rFonts w:ascii="Times New Roman" w:hAnsi="Times New Roman" w:eastAsia="宋体" w:cs="Times New Roman"/>
      <w:b/>
      <w:bCs/>
      <w:kern w:val="44"/>
      <w:sz w:val="44"/>
      <w:szCs w:val="44"/>
    </w:rPr>
  </w:style>
  <w:style w:type="character" w:customStyle="1" w:styleId="34">
    <w:name w:val="标题 2 Char"/>
    <w:basedOn w:val="23"/>
    <w:link w:val="3"/>
    <w:qFormat/>
    <w:uiPriority w:val="9"/>
    <w:rPr>
      <w:rFonts w:ascii="Arial" w:hAnsi="Arial" w:eastAsia="黑体" w:cs="Times New Roman"/>
      <w:b/>
      <w:bCs/>
      <w:sz w:val="32"/>
      <w:szCs w:val="32"/>
    </w:rPr>
  </w:style>
  <w:style w:type="character" w:customStyle="1" w:styleId="35">
    <w:name w:val="标题 4 Char"/>
    <w:basedOn w:val="23"/>
    <w:link w:val="5"/>
    <w:qFormat/>
    <w:uiPriority w:val="9"/>
    <w:rPr>
      <w:rFonts w:ascii="Arial" w:hAnsi="Arial" w:cs="Times New Roman" w:eastAsiaTheme="majorEastAsia"/>
      <w:bCs/>
      <w:sz w:val="24"/>
      <w:szCs w:val="28"/>
    </w:rPr>
  </w:style>
  <w:style w:type="character" w:customStyle="1" w:styleId="36">
    <w:name w:val="标题 5 Char"/>
    <w:basedOn w:val="23"/>
    <w:link w:val="6"/>
    <w:qFormat/>
    <w:uiPriority w:val="0"/>
    <w:rPr>
      <w:rFonts w:ascii="Times New Roman" w:hAnsi="Times New Roman" w:eastAsia="宋体" w:cs="Times New Roman"/>
      <w:b/>
      <w:bCs/>
      <w:sz w:val="28"/>
      <w:szCs w:val="28"/>
    </w:rPr>
  </w:style>
  <w:style w:type="character" w:customStyle="1" w:styleId="37">
    <w:name w:val="标题 6 Char"/>
    <w:basedOn w:val="23"/>
    <w:link w:val="7"/>
    <w:qFormat/>
    <w:uiPriority w:val="0"/>
    <w:rPr>
      <w:rFonts w:ascii="Arial" w:hAnsi="Arial" w:eastAsia="黑体" w:cs="Times New Roman"/>
      <w:b/>
      <w:bCs/>
      <w:sz w:val="24"/>
      <w:szCs w:val="24"/>
    </w:rPr>
  </w:style>
  <w:style w:type="character" w:customStyle="1" w:styleId="38">
    <w:name w:val="标题 7 Char"/>
    <w:basedOn w:val="23"/>
    <w:link w:val="8"/>
    <w:qFormat/>
    <w:uiPriority w:val="0"/>
    <w:rPr>
      <w:rFonts w:ascii="Times New Roman" w:hAnsi="Times New Roman" w:eastAsia="宋体" w:cs="Times New Roman"/>
      <w:b/>
      <w:bCs/>
      <w:sz w:val="24"/>
      <w:szCs w:val="24"/>
    </w:rPr>
  </w:style>
  <w:style w:type="character" w:customStyle="1" w:styleId="39">
    <w:name w:val="标题 8 Char"/>
    <w:basedOn w:val="23"/>
    <w:link w:val="9"/>
    <w:qFormat/>
    <w:uiPriority w:val="0"/>
    <w:rPr>
      <w:rFonts w:ascii="Arial" w:hAnsi="Arial" w:eastAsia="黑体" w:cs="Times New Roman"/>
      <w:sz w:val="24"/>
      <w:szCs w:val="24"/>
    </w:rPr>
  </w:style>
  <w:style w:type="character" w:customStyle="1" w:styleId="40">
    <w:name w:val="标题 9 Char"/>
    <w:basedOn w:val="23"/>
    <w:link w:val="10"/>
    <w:qFormat/>
    <w:uiPriority w:val="0"/>
    <w:rPr>
      <w:rFonts w:ascii="Arial" w:hAnsi="Arial" w:eastAsia="黑体" w:cs="Times New Roman"/>
      <w:szCs w:val="21"/>
    </w:rPr>
  </w:style>
  <w:style w:type="paragraph" w:customStyle="1" w:styleId="41">
    <w:name w:val="封面副标题"/>
    <w:basedOn w:val="1"/>
    <w:qFormat/>
    <w:uiPriority w:val="0"/>
    <w:pPr>
      <w:widowControl/>
      <w:ind w:firstLine="200" w:firstLineChars="200"/>
      <w:jc w:val="center"/>
    </w:pPr>
    <w:rPr>
      <w:rFonts w:ascii="Consolas" w:hAnsi="Consolas" w:eastAsia="黑体" w:cs="宋体"/>
      <w:kern w:val="0"/>
      <w:sz w:val="44"/>
      <w:szCs w:val="21"/>
    </w:rPr>
  </w:style>
  <w:style w:type="paragraph" w:customStyle="1" w:styleId="42">
    <w:name w:val="封面公司中文名称"/>
    <w:basedOn w:val="1"/>
    <w:qFormat/>
    <w:uiPriority w:val="0"/>
    <w:pPr>
      <w:widowControl/>
      <w:ind w:firstLine="200" w:firstLineChars="200"/>
      <w:jc w:val="center"/>
    </w:pPr>
    <w:rPr>
      <w:rFonts w:ascii="Consolas" w:hAnsi="Consolas" w:eastAsia="黑体" w:cs="宋体"/>
      <w:kern w:val="0"/>
      <w:sz w:val="36"/>
      <w:szCs w:val="21"/>
    </w:rPr>
  </w:style>
  <w:style w:type="paragraph" w:customStyle="1" w:styleId="43">
    <w:name w:val="封面标题"/>
    <w:basedOn w:val="1"/>
    <w:qFormat/>
    <w:uiPriority w:val="0"/>
    <w:pPr>
      <w:widowControl/>
      <w:ind w:firstLine="200" w:firstLineChars="200"/>
      <w:jc w:val="center"/>
    </w:pPr>
    <w:rPr>
      <w:rFonts w:ascii="Consolas" w:hAnsi="Consolas" w:eastAsia="黑体" w:cs="宋体"/>
      <w:kern w:val="0"/>
      <w:sz w:val="52"/>
      <w:szCs w:val="21"/>
    </w:rPr>
  </w:style>
  <w:style w:type="paragraph" w:customStyle="1" w:styleId="44">
    <w:name w:val="封面一级标题文字"/>
    <w:basedOn w:val="1"/>
    <w:semiHidden/>
    <w:qFormat/>
    <w:uiPriority w:val="0"/>
    <w:pPr>
      <w:spacing w:line="640" w:lineRule="exact"/>
      <w:ind w:firstLine="200" w:firstLineChars="200"/>
      <w:jc w:val="center"/>
    </w:pPr>
    <w:rPr>
      <w:rFonts w:ascii="黑体" w:hAnsi="黑体" w:eastAsia="黑体"/>
      <w:b/>
      <w:bCs/>
      <w:sz w:val="52"/>
    </w:rPr>
  </w:style>
  <w:style w:type="paragraph" w:customStyle="1" w:styleId="45">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6">
    <w:name w:val="居中正文"/>
    <w:basedOn w:val="1"/>
    <w:qFormat/>
    <w:uiPriority w:val="0"/>
    <w:pPr>
      <w:widowControl/>
      <w:ind w:firstLine="200" w:firstLineChars="200"/>
      <w:jc w:val="center"/>
    </w:pPr>
    <w:rPr>
      <w:rFonts w:ascii="Consolas" w:hAnsi="Consolas" w:cs="宋体"/>
      <w:kern w:val="0"/>
      <w:szCs w:val="20"/>
    </w:rPr>
  </w:style>
  <w:style w:type="character" w:customStyle="1" w:styleId="47">
    <w:name w:val="批注文字 Char"/>
    <w:basedOn w:val="23"/>
    <w:link w:val="12"/>
    <w:semiHidden/>
    <w:qFormat/>
    <w:uiPriority w:val="99"/>
    <w:rPr>
      <w:rFonts w:ascii="Times New Roman" w:hAnsi="Times New Roman" w:eastAsia="宋体" w:cs="Times New Roman"/>
      <w:szCs w:val="24"/>
    </w:rPr>
  </w:style>
  <w:style w:type="character" w:customStyle="1" w:styleId="48">
    <w:name w:val="批注主题 Char"/>
    <w:basedOn w:val="47"/>
    <w:link w:val="20"/>
    <w:semiHidden/>
    <w:qFormat/>
    <w:uiPriority w:val="99"/>
    <w:rPr>
      <w:rFonts w:ascii="Times New Roman" w:hAnsi="Times New Roman" w:eastAsia="宋体" w:cs="Times New Roman"/>
      <w:b/>
      <w:bCs/>
      <w:szCs w:val="24"/>
    </w:rPr>
  </w:style>
  <w:style w:type="character" w:customStyle="1" w:styleId="49">
    <w:name w:val="批注框文本 Char"/>
    <w:basedOn w:val="23"/>
    <w:link w:val="1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0.png"/><Relationship Id="rId3" Type="http://schemas.openxmlformats.org/officeDocument/2006/relationships/header" Target="header1.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4613D-1015-44A1-B120-2274641EBAC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296</Words>
  <Characters>1691</Characters>
  <Lines>14</Lines>
  <Paragraphs>3</Paragraphs>
  <TotalTime>6</TotalTime>
  <ScaleCrop>false</ScaleCrop>
  <LinksUpToDate>false</LinksUpToDate>
  <CharactersWithSpaces>1984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2020-09-21T08:02:00Z</dcterms:created>
  <dc:creator>郑刚强</dc:creator>
  <cp:lastModifiedBy>admin</cp:lastModifiedBy>
  <dcterms:modified xsi:type="dcterms:W3CDTF">2024-01-24T00:05:35Z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AF840CE80B934E91AF72C6E197272465</vt:lpwstr>
  </property>
</Properties>
</file>